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threeDEmboss" w:sz="24" w:space="0" w:color="auto"/>
        </w:tblBorders>
        <w:tblLook w:val="04A0" w:firstRow="1" w:lastRow="0" w:firstColumn="1" w:lastColumn="0" w:noHBand="0" w:noVBand="1"/>
      </w:tblPr>
      <w:tblGrid>
        <w:gridCol w:w="5136"/>
        <w:gridCol w:w="4162"/>
      </w:tblGrid>
      <w:tr w:rsidR="00094478" w:rsidRPr="009C4D9E" w14:paraId="4E7FE1FF" w14:textId="77777777" w:rsidTr="00AD1CD1">
        <w:tc>
          <w:tcPr>
            <w:tcW w:w="5116" w:type="dxa"/>
          </w:tcPr>
          <w:p w14:paraId="42AC1585" w14:textId="6DF1C979" w:rsidR="00094478" w:rsidRPr="004309BB" w:rsidRDefault="00094478" w:rsidP="00AD1CD1">
            <w:pPr>
              <w:pStyle w:val="a8"/>
              <w:rPr>
                <w:b/>
                <w:bCs/>
              </w:rPr>
            </w:pPr>
            <w:bookmarkStart w:id="0" w:name="_GoBack"/>
            <w:bookmarkEnd w:id="0"/>
            <w:r w:rsidRPr="004309BB">
              <w:rPr>
                <w:b/>
                <w:noProof/>
                <w:lang w:val="en-US" w:eastAsia="en-US"/>
              </w:rPr>
              <w:drawing>
                <wp:inline distT="0" distB="0" distL="0" distR="0" wp14:anchorId="769EBC56" wp14:editId="6F3C0DFE">
                  <wp:extent cx="311467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20000"/>
                            <a:extLst>
                              <a:ext uri="{28A0092B-C50C-407E-A947-70E740481C1C}">
                                <a14:useLocalDpi xmlns:a14="http://schemas.microsoft.com/office/drawing/2010/main" val="0"/>
                              </a:ext>
                            </a:extLst>
                          </a:blip>
                          <a:srcRect/>
                          <a:stretch>
                            <a:fillRect/>
                          </a:stretch>
                        </pic:blipFill>
                        <pic:spPr bwMode="auto">
                          <a:xfrm>
                            <a:off x="0" y="0"/>
                            <a:ext cx="3114675" cy="895350"/>
                          </a:xfrm>
                          <a:prstGeom prst="rect">
                            <a:avLst/>
                          </a:prstGeom>
                          <a:noFill/>
                          <a:ln>
                            <a:noFill/>
                          </a:ln>
                        </pic:spPr>
                      </pic:pic>
                    </a:graphicData>
                  </a:graphic>
                </wp:inline>
              </w:drawing>
            </w:r>
          </w:p>
        </w:tc>
        <w:tc>
          <w:tcPr>
            <w:tcW w:w="4737" w:type="dxa"/>
          </w:tcPr>
          <w:p w14:paraId="5EC266E8" w14:textId="77777777" w:rsidR="00094478" w:rsidRPr="004309BB" w:rsidRDefault="00094478" w:rsidP="00AD1CD1">
            <w:pPr>
              <w:pStyle w:val="a8"/>
              <w:rPr>
                <w:b/>
                <w:u w:val="single"/>
                <w:lang w:val="ru-RU"/>
              </w:rPr>
            </w:pPr>
            <w:r w:rsidRPr="004309BB">
              <w:rPr>
                <w:b/>
                <w:u w:val="single"/>
                <w:lang w:val="ru-RU"/>
              </w:rPr>
              <w:t xml:space="preserve">ТОВ </w:t>
            </w:r>
            <w:proofErr w:type="spellStart"/>
            <w:r w:rsidRPr="004309BB">
              <w:rPr>
                <w:b/>
                <w:u w:val="single"/>
                <w:lang w:val="ru-RU"/>
              </w:rPr>
              <w:t>Аудиторська</w:t>
            </w:r>
            <w:proofErr w:type="spellEnd"/>
            <w:r w:rsidRPr="004309BB">
              <w:rPr>
                <w:b/>
                <w:u w:val="single"/>
                <w:lang w:val="ru-RU"/>
              </w:rPr>
              <w:t xml:space="preserve"> </w:t>
            </w:r>
            <w:proofErr w:type="spellStart"/>
            <w:r w:rsidRPr="004309BB">
              <w:rPr>
                <w:b/>
                <w:u w:val="single"/>
                <w:lang w:val="ru-RU"/>
              </w:rPr>
              <w:t>фірма</w:t>
            </w:r>
            <w:proofErr w:type="spellEnd"/>
            <w:r w:rsidRPr="004309BB">
              <w:rPr>
                <w:b/>
                <w:u w:val="single"/>
                <w:lang w:val="ru-RU"/>
              </w:rPr>
              <w:t xml:space="preserve"> «ФІНАНСИСТ»</w:t>
            </w:r>
          </w:p>
          <w:p w14:paraId="62F2B915" w14:textId="77777777" w:rsidR="00094478" w:rsidRPr="004309BB" w:rsidRDefault="00094478" w:rsidP="00AD1CD1">
            <w:pPr>
              <w:pStyle w:val="a8"/>
              <w:rPr>
                <w:b/>
                <w:lang w:val="ru-RU"/>
              </w:rPr>
            </w:pPr>
            <w:r w:rsidRPr="004309BB">
              <w:rPr>
                <w:b/>
              </w:rPr>
              <w:t>Юридична адреса:</w:t>
            </w:r>
          </w:p>
          <w:p w14:paraId="14B33C90" w14:textId="77777777" w:rsidR="00094478" w:rsidRPr="004309BB" w:rsidRDefault="00094478" w:rsidP="00AD1CD1">
            <w:pPr>
              <w:pStyle w:val="a8"/>
              <w:rPr>
                <w:lang w:val="ru-RU"/>
              </w:rPr>
            </w:pPr>
            <w:r w:rsidRPr="003D6A9E">
              <w:t>49000, місто Дніпро, вул. Фабрично-заводська,</w:t>
            </w:r>
            <w:r w:rsidRPr="004309BB">
              <w:rPr>
                <w:lang w:val="ru-RU"/>
              </w:rPr>
              <w:t xml:space="preserve"> </w:t>
            </w:r>
            <w:r w:rsidRPr="003D6A9E">
              <w:t>20,</w:t>
            </w:r>
            <w:r w:rsidRPr="004309BB">
              <w:rPr>
                <w:lang w:val="ru-RU"/>
              </w:rPr>
              <w:t xml:space="preserve"> </w:t>
            </w:r>
            <w:r w:rsidRPr="003D6A9E">
              <w:t>кв. 28</w:t>
            </w:r>
          </w:p>
          <w:p w14:paraId="3B27234D" w14:textId="4C7F05D8" w:rsidR="00094478" w:rsidRDefault="00094478" w:rsidP="00AD1CD1">
            <w:pPr>
              <w:pStyle w:val="a8"/>
              <w:rPr>
                <w:b/>
              </w:rPr>
            </w:pPr>
            <w:r w:rsidRPr="003D6A9E">
              <w:t xml:space="preserve">Код ЕДРПОУ </w:t>
            </w:r>
            <w:r w:rsidRPr="004309BB">
              <w:rPr>
                <w:b/>
              </w:rPr>
              <w:t>21860250</w:t>
            </w:r>
          </w:p>
          <w:p w14:paraId="17C8770F" w14:textId="77777777" w:rsidR="00D84BAC" w:rsidRDefault="00D84BAC" w:rsidP="00D84BAC">
            <w:pPr>
              <w:pStyle w:val="a8"/>
              <w:rPr>
                <w:rFonts w:ascii="Arial" w:hAnsi="Arial" w:cs="Arial"/>
                <w:b/>
              </w:rPr>
            </w:pPr>
            <w:r w:rsidRPr="00A562F9">
              <w:rPr>
                <w:rFonts w:ascii="Arial" w:hAnsi="Arial" w:cs="Arial"/>
                <w:lang w:val="en-US"/>
              </w:rPr>
              <w:t>e</w:t>
            </w:r>
            <w:r w:rsidRPr="004A177D">
              <w:rPr>
                <w:rFonts w:ascii="Arial" w:hAnsi="Arial" w:cs="Arial"/>
                <w:lang w:val="en-US"/>
              </w:rPr>
              <w:t>-</w:t>
            </w:r>
            <w:r w:rsidRPr="00A562F9">
              <w:rPr>
                <w:rFonts w:ascii="Arial" w:hAnsi="Arial" w:cs="Arial"/>
                <w:lang w:val="en-US"/>
              </w:rPr>
              <w:t>mail</w:t>
            </w:r>
            <w:r w:rsidRPr="004A177D">
              <w:rPr>
                <w:rFonts w:ascii="Arial" w:hAnsi="Arial" w:cs="Arial"/>
                <w:lang w:val="en-US"/>
              </w:rPr>
              <w:t xml:space="preserve">: </w:t>
            </w:r>
            <w:hyperlink r:id="rId8" w:history="1">
              <w:r w:rsidRPr="00A562F9">
                <w:rPr>
                  <w:rStyle w:val="a6"/>
                  <w:rFonts w:ascii="Arial" w:hAnsi="Arial" w:cs="Arial"/>
                </w:rPr>
                <w:t>affinansist</w:t>
              </w:r>
              <w:r w:rsidRPr="004A177D">
                <w:rPr>
                  <w:rStyle w:val="a6"/>
                  <w:rFonts w:ascii="Arial" w:hAnsi="Arial" w:cs="Arial"/>
                  <w:lang w:val="en-US"/>
                </w:rPr>
                <w:t>@</w:t>
              </w:r>
              <w:r w:rsidRPr="00A562F9">
                <w:rPr>
                  <w:rStyle w:val="a6"/>
                  <w:rFonts w:ascii="Arial" w:hAnsi="Arial" w:cs="Arial"/>
                </w:rPr>
                <w:t>gmail</w:t>
              </w:r>
              <w:r w:rsidRPr="004A177D">
                <w:rPr>
                  <w:rStyle w:val="a6"/>
                  <w:rFonts w:ascii="Arial" w:hAnsi="Arial" w:cs="Arial"/>
                  <w:lang w:val="en-US"/>
                </w:rPr>
                <w:t>.</w:t>
              </w:r>
              <w:proofErr w:type="spellStart"/>
              <w:r w:rsidRPr="00A562F9">
                <w:rPr>
                  <w:rStyle w:val="a6"/>
                  <w:rFonts w:ascii="Arial" w:hAnsi="Arial" w:cs="Arial"/>
                </w:rPr>
                <w:t>com</w:t>
              </w:r>
              <w:proofErr w:type="spellEnd"/>
            </w:hyperlink>
          </w:p>
          <w:p w14:paraId="77994884" w14:textId="77777777" w:rsidR="00094478" w:rsidRPr="004309BB" w:rsidRDefault="00094478" w:rsidP="00F27535">
            <w:pPr>
              <w:pStyle w:val="a8"/>
              <w:rPr>
                <w:sz w:val="18"/>
                <w:szCs w:val="18"/>
              </w:rPr>
            </w:pPr>
          </w:p>
        </w:tc>
      </w:tr>
    </w:tbl>
    <w:p w14:paraId="1B0DCFBA" w14:textId="77777777" w:rsidR="00094478" w:rsidRPr="003D6A9E" w:rsidRDefault="00094478" w:rsidP="00094478">
      <w:pPr>
        <w:pStyle w:val="a8"/>
        <w:jc w:val="center"/>
      </w:pPr>
      <w:r w:rsidRPr="003D6A9E">
        <w:t>Внесено до  Реєстру аудиторів та суб’єктів аудиторської діяльності до Розділу «Суб'єкти аудиторської діяльності, які мають право проводити обов'язковий аудит фінансової звітності» номер реєстрації в реєстрі 0402.</w:t>
      </w:r>
    </w:p>
    <w:p w14:paraId="5F82968D" w14:textId="77777777" w:rsidR="00144E8C" w:rsidRDefault="00144E8C" w:rsidP="00144E8C">
      <w:pPr>
        <w:jc w:val="center"/>
        <w:rPr>
          <w:rFonts w:ascii="Arial" w:hAnsi="Arial" w:cs="Arial"/>
          <w:b/>
          <w:sz w:val="50"/>
          <w:szCs w:val="50"/>
          <w:lang w:eastAsia="ru-RU"/>
        </w:rPr>
      </w:pPr>
    </w:p>
    <w:p w14:paraId="2FD68CD8" w14:textId="77777777" w:rsidR="00144E8C" w:rsidRDefault="00144E8C" w:rsidP="00144E8C">
      <w:pPr>
        <w:jc w:val="center"/>
        <w:rPr>
          <w:rFonts w:ascii="Arial" w:hAnsi="Arial" w:cs="Arial"/>
          <w:b/>
          <w:sz w:val="50"/>
          <w:szCs w:val="50"/>
          <w:lang w:eastAsia="ru-RU"/>
        </w:rPr>
      </w:pPr>
    </w:p>
    <w:p w14:paraId="54E60A57" w14:textId="77777777" w:rsidR="00144E8C" w:rsidRDefault="00144E8C" w:rsidP="00144E8C">
      <w:pPr>
        <w:jc w:val="center"/>
        <w:rPr>
          <w:rFonts w:ascii="Arial" w:hAnsi="Arial" w:cs="Arial"/>
          <w:b/>
          <w:sz w:val="50"/>
          <w:szCs w:val="50"/>
          <w:lang w:eastAsia="ru-RU"/>
        </w:rPr>
      </w:pPr>
    </w:p>
    <w:p w14:paraId="18279D93" w14:textId="77777777" w:rsidR="00144E8C" w:rsidRDefault="00144E8C" w:rsidP="00144E8C">
      <w:pPr>
        <w:jc w:val="center"/>
        <w:rPr>
          <w:rFonts w:ascii="Arial" w:hAnsi="Arial" w:cs="Arial"/>
          <w:b/>
          <w:sz w:val="50"/>
          <w:szCs w:val="50"/>
          <w:lang w:eastAsia="ru-RU"/>
        </w:rPr>
      </w:pPr>
    </w:p>
    <w:p w14:paraId="42D4CE71" w14:textId="77777777" w:rsidR="00144E8C" w:rsidRDefault="00144E8C" w:rsidP="00144E8C">
      <w:pPr>
        <w:jc w:val="center"/>
        <w:rPr>
          <w:rFonts w:ascii="Arial" w:hAnsi="Arial" w:cs="Arial"/>
          <w:b/>
          <w:sz w:val="50"/>
          <w:szCs w:val="50"/>
          <w:lang w:eastAsia="ru-RU"/>
        </w:rPr>
      </w:pPr>
    </w:p>
    <w:p w14:paraId="7900AE2C" w14:textId="77777777" w:rsidR="00144E8C" w:rsidRPr="001D12D7" w:rsidRDefault="00144E8C" w:rsidP="00144E8C">
      <w:pPr>
        <w:jc w:val="center"/>
        <w:rPr>
          <w:b/>
          <w:sz w:val="50"/>
          <w:szCs w:val="50"/>
          <w:lang w:eastAsia="ru-RU"/>
        </w:rPr>
      </w:pPr>
    </w:p>
    <w:p w14:paraId="2A26C81F" w14:textId="77777777" w:rsidR="00144E8C" w:rsidRPr="001D12D7" w:rsidRDefault="00144E8C" w:rsidP="00144E8C">
      <w:pPr>
        <w:jc w:val="center"/>
        <w:rPr>
          <w:b/>
          <w:sz w:val="50"/>
          <w:szCs w:val="50"/>
          <w:lang w:eastAsia="ru-RU"/>
        </w:rPr>
      </w:pPr>
      <w:r w:rsidRPr="001D12D7">
        <w:rPr>
          <w:b/>
          <w:sz w:val="50"/>
          <w:szCs w:val="50"/>
          <w:lang w:eastAsia="ru-RU"/>
        </w:rPr>
        <w:t>ЗВІТ З НАДАННЯ ВПЕВНЕНОСТІ</w:t>
      </w:r>
    </w:p>
    <w:p w14:paraId="2CD803BC" w14:textId="77777777" w:rsidR="00144E8C" w:rsidRPr="001D12D7" w:rsidRDefault="00144E8C" w:rsidP="00144E8C">
      <w:pPr>
        <w:jc w:val="center"/>
        <w:rPr>
          <w:sz w:val="28"/>
        </w:rPr>
      </w:pPr>
    </w:p>
    <w:p w14:paraId="76141F28" w14:textId="77777777" w:rsidR="00144E8C" w:rsidRPr="001D12D7" w:rsidRDefault="00144E8C" w:rsidP="00144E8C">
      <w:pPr>
        <w:jc w:val="center"/>
        <w:rPr>
          <w:b/>
          <w:sz w:val="32"/>
          <w:szCs w:val="32"/>
          <w:u w:val="single"/>
        </w:rPr>
      </w:pPr>
      <w:r w:rsidRPr="001D12D7">
        <w:rPr>
          <w:b/>
          <w:sz w:val="32"/>
          <w:szCs w:val="32"/>
          <w:u w:val="single"/>
        </w:rPr>
        <w:t xml:space="preserve">відповідності звітних даних </w:t>
      </w:r>
    </w:p>
    <w:p w14:paraId="7CFC35E4" w14:textId="27CDE530" w:rsidR="00144E8C" w:rsidRPr="001D12D7" w:rsidRDefault="00A8206F" w:rsidP="00144E8C">
      <w:pPr>
        <w:jc w:val="center"/>
        <w:rPr>
          <w:b/>
          <w:sz w:val="28"/>
          <w:szCs w:val="28"/>
          <w:u w:val="single"/>
        </w:rPr>
      </w:pPr>
      <w:r w:rsidRPr="001D12D7">
        <w:rPr>
          <w:b/>
          <w:sz w:val="28"/>
          <w:szCs w:val="28"/>
          <w:u w:val="single"/>
        </w:rPr>
        <w:t>ПОВНОГО ТОВАРИСТВА</w:t>
      </w:r>
    </w:p>
    <w:p w14:paraId="72AC6F79" w14:textId="10D13D61" w:rsidR="00144E8C" w:rsidRPr="001D12D7" w:rsidRDefault="00144E8C" w:rsidP="00144E8C">
      <w:pPr>
        <w:jc w:val="center"/>
        <w:rPr>
          <w:b/>
          <w:sz w:val="28"/>
          <w:szCs w:val="28"/>
          <w:u w:val="single"/>
        </w:rPr>
      </w:pPr>
      <w:r w:rsidRPr="001D12D7">
        <w:rPr>
          <w:b/>
          <w:sz w:val="28"/>
          <w:szCs w:val="28"/>
          <w:u w:val="single"/>
        </w:rPr>
        <w:t>«</w:t>
      </w:r>
      <w:r w:rsidR="00C16CD1" w:rsidRPr="001D12D7">
        <w:rPr>
          <w:b/>
          <w:sz w:val="28"/>
          <w:szCs w:val="28"/>
          <w:u w:val="single"/>
        </w:rPr>
        <w:t>ДІЛА ЛОМБАРД-ДІАСАМІДЗЕ  ДАВІД ШУКРІЄВИЧ ТА ДІМОВА ЛАРИСА МИКОЛАЇВНА</w:t>
      </w:r>
      <w:r w:rsidRPr="001D12D7">
        <w:rPr>
          <w:b/>
          <w:sz w:val="28"/>
          <w:szCs w:val="28"/>
          <w:u w:val="single"/>
        </w:rPr>
        <w:t>»</w:t>
      </w:r>
    </w:p>
    <w:p w14:paraId="5C3D7AB4" w14:textId="1088E5A2" w:rsidR="00144E8C" w:rsidRPr="001D12D7" w:rsidRDefault="00144E8C" w:rsidP="00144E8C">
      <w:pPr>
        <w:jc w:val="center"/>
        <w:rPr>
          <w:b/>
          <w:sz w:val="28"/>
          <w:szCs w:val="28"/>
          <w:u w:val="single"/>
        </w:rPr>
      </w:pPr>
      <w:r w:rsidRPr="001D12D7">
        <w:rPr>
          <w:b/>
          <w:sz w:val="28"/>
          <w:szCs w:val="28"/>
          <w:u w:val="single"/>
        </w:rPr>
        <w:t xml:space="preserve">КОД ЗА ЄДРПОУ </w:t>
      </w:r>
      <w:r w:rsidR="00C16CD1" w:rsidRPr="001D12D7">
        <w:rPr>
          <w:b/>
          <w:sz w:val="28"/>
          <w:szCs w:val="28"/>
          <w:u w:val="single"/>
        </w:rPr>
        <w:t>30839335</w:t>
      </w:r>
    </w:p>
    <w:p w14:paraId="3D992E12" w14:textId="77777777" w:rsidR="00144E8C" w:rsidRPr="001D12D7" w:rsidRDefault="00144E8C" w:rsidP="00144E8C">
      <w:pPr>
        <w:jc w:val="center"/>
        <w:rPr>
          <w:b/>
          <w:sz w:val="36"/>
          <w:szCs w:val="36"/>
          <w:u w:val="single"/>
          <w:lang w:val="ru-RU"/>
        </w:rPr>
      </w:pPr>
    </w:p>
    <w:p w14:paraId="38894AD9" w14:textId="29DCD57B" w:rsidR="00144E8C" w:rsidRPr="001D12D7" w:rsidRDefault="00144E8C" w:rsidP="00144E8C">
      <w:pPr>
        <w:jc w:val="center"/>
        <w:rPr>
          <w:b/>
          <w:sz w:val="28"/>
          <w:u w:val="single"/>
        </w:rPr>
      </w:pPr>
      <w:r w:rsidRPr="001D12D7">
        <w:rPr>
          <w:b/>
          <w:sz w:val="28"/>
          <w:u w:val="single"/>
          <w:lang w:val="ru-RU"/>
        </w:rPr>
        <w:t>станом</w:t>
      </w:r>
      <w:r w:rsidRPr="001D12D7">
        <w:rPr>
          <w:b/>
          <w:sz w:val="28"/>
          <w:u w:val="single"/>
        </w:rPr>
        <w:t xml:space="preserve"> на 31 грудня </w:t>
      </w:r>
      <w:r w:rsidR="00BF08E6" w:rsidRPr="001D12D7">
        <w:rPr>
          <w:b/>
          <w:sz w:val="28"/>
          <w:u w:val="single"/>
        </w:rPr>
        <w:t>2024</w:t>
      </w:r>
      <w:r w:rsidRPr="001D12D7">
        <w:rPr>
          <w:b/>
          <w:sz w:val="28"/>
          <w:u w:val="single"/>
        </w:rPr>
        <w:t xml:space="preserve"> року</w:t>
      </w:r>
    </w:p>
    <w:p w14:paraId="0609264D" w14:textId="77777777" w:rsidR="00144E8C" w:rsidRPr="001D12D7" w:rsidRDefault="00144E8C" w:rsidP="00144E8C">
      <w:pPr>
        <w:rPr>
          <w:sz w:val="28"/>
        </w:rPr>
      </w:pPr>
    </w:p>
    <w:p w14:paraId="280F05AE" w14:textId="77777777" w:rsidR="00144E8C" w:rsidRPr="001D12D7" w:rsidRDefault="00144E8C" w:rsidP="00144E8C">
      <w:pPr>
        <w:rPr>
          <w:sz w:val="28"/>
        </w:rPr>
      </w:pPr>
    </w:p>
    <w:p w14:paraId="6359B668" w14:textId="77777777" w:rsidR="00144E8C" w:rsidRPr="001D12D7" w:rsidRDefault="00144E8C" w:rsidP="00144E8C">
      <w:pPr>
        <w:rPr>
          <w:sz w:val="28"/>
        </w:rPr>
      </w:pPr>
    </w:p>
    <w:p w14:paraId="03B79797" w14:textId="77777777" w:rsidR="00144E8C" w:rsidRPr="001D12D7" w:rsidRDefault="00144E8C" w:rsidP="00144E8C">
      <w:pPr>
        <w:jc w:val="center"/>
        <w:rPr>
          <w:sz w:val="28"/>
        </w:rPr>
      </w:pPr>
    </w:p>
    <w:p w14:paraId="353F2D3C" w14:textId="77777777" w:rsidR="00144E8C" w:rsidRPr="001D12D7" w:rsidRDefault="00144E8C" w:rsidP="00144E8C">
      <w:pPr>
        <w:jc w:val="center"/>
        <w:rPr>
          <w:sz w:val="28"/>
          <w:lang w:val="ru-RU"/>
        </w:rPr>
      </w:pPr>
    </w:p>
    <w:p w14:paraId="53B7252C" w14:textId="77777777" w:rsidR="00144E8C" w:rsidRPr="001D12D7" w:rsidRDefault="00144E8C" w:rsidP="00144E8C">
      <w:pPr>
        <w:jc w:val="center"/>
        <w:rPr>
          <w:sz w:val="28"/>
          <w:lang w:val="ru-RU"/>
        </w:rPr>
      </w:pPr>
    </w:p>
    <w:p w14:paraId="3419E2AD" w14:textId="77777777" w:rsidR="00144E8C" w:rsidRPr="001D12D7" w:rsidRDefault="00144E8C" w:rsidP="00144E8C">
      <w:pPr>
        <w:jc w:val="center"/>
        <w:rPr>
          <w:sz w:val="28"/>
          <w:lang w:val="ru-RU"/>
        </w:rPr>
      </w:pPr>
    </w:p>
    <w:p w14:paraId="6019CA95" w14:textId="77777777" w:rsidR="00144E8C" w:rsidRPr="001D12D7" w:rsidRDefault="00144E8C" w:rsidP="00144E8C">
      <w:pPr>
        <w:jc w:val="center"/>
        <w:rPr>
          <w:sz w:val="28"/>
          <w:lang w:val="ru-RU"/>
        </w:rPr>
      </w:pPr>
    </w:p>
    <w:p w14:paraId="3B6F8BDE" w14:textId="77777777" w:rsidR="00144E8C" w:rsidRPr="001D12D7" w:rsidRDefault="00144E8C" w:rsidP="00144E8C">
      <w:pPr>
        <w:jc w:val="center"/>
        <w:rPr>
          <w:sz w:val="28"/>
          <w:lang w:val="ru-RU"/>
        </w:rPr>
      </w:pPr>
    </w:p>
    <w:p w14:paraId="4155A787" w14:textId="77777777" w:rsidR="00144E8C" w:rsidRPr="001D12D7" w:rsidRDefault="00144E8C" w:rsidP="00144E8C">
      <w:pPr>
        <w:jc w:val="center"/>
        <w:rPr>
          <w:sz w:val="28"/>
          <w:lang w:val="ru-RU"/>
        </w:rPr>
      </w:pPr>
    </w:p>
    <w:p w14:paraId="0E08C4C1" w14:textId="77777777" w:rsidR="00144E8C" w:rsidRPr="001D12D7" w:rsidRDefault="00144E8C" w:rsidP="00144E8C">
      <w:pPr>
        <w:jc w:val="center"/>
        <w:rPr>
          <w:sz w:val="28"/>
          <w:lang w:val="ru-RU"/>
        </w:rPr>
      </w:pPr>
    </w:p>
    <w:p w14:paraId="0170EA5F" w14:textId="77777777" w:rsidR="00144E8C" w:rsidRPr="001D12D7" w:rsidRDefault="00144E8C" w:rsidP="00144E8C">
      <w:pPr>
        <w:jc w:val="center"/>
        <w:rPr>
          <w:sz w:val="28"/>
          <w:lang w:val="ru-RU"/>
        </w:rPr>
      </w:pPr>
    </w:p>
    <w:p w14:paraId="63DBF236" w14:textId="77777777" w:rsidR="00144E8C" w:rsidRPr="001D12D7" w:rsidRDefault="00144E8C" w:rsidP="00144E8C">
      <w:pPr>
        <w:jc w:val="center"/>
        <w:rPr>
          <w:sz w:val="28"/>
          <w:lang w:val="ru-RU"/>
        </w:rPr>
      </w:pPr>
    </w:p>
    <w:p w14:paraId="07E7E833" w14:textId="77777777" w:rsidR="00144E8C" w:rsidRPr="001D12D7" w:rsidRDefault="00144E8C" w:rsidP="00144E8C">
      <w:pPr>
        <w:ind w:right="57"/>
        <w:jc w:val="center"/>
        <w:rPr>
          <w:b/>
          <w:bCs/>
          <w:i/>
          <w:color w:val="000000"/>
          <w:sz w:val="22"/>
        </w:rPr>
      </w:pPr>
      <w:r w:rsidRPr="001D12D7">
        <w:rPr>
          <w:b/>
          <w:bCs/>
          <w:i/>
          <w:color w:val="000000"/>
          <w:sz w:val="22"/>
        </w:rPr>
        <w:t>м. Дніпро</w:t>
      </w:r>
    </w:p>
    <w:p w14:paraId="66C39EA7" w14:textId="5FA7B282" w:rsidR="00144E8C" w:rsidRPr="001D12D7" w:rsidRDefault="00BF08E6" w:rsidP="00144E8C">
      <w:pPr>
        <w:ind w:right="57"/>
        <w:jc w:val="center"/>
        <w:rPr>
          <w:b/>
          <w:bCs/>
          <w:i/>
          <w:color w:val="000000"/>
          <w:sz w:val="22"/>
        </w:rPr>
      </w:pPr>
      <w:r w:rsidRPr="001D12D7">
        <w:rPr>
          <w:b/>
          <w:bCs/>
          <w:i/>
          <w:color w:val="000000"/>
          <w:sz w:val="22"/>
        </w:rPr>
        <w:t>2025</w:t>
      </w:r>
      <w:r w:rsidR="00144E8C" w:rsidRPr="001D12D7">
        <w:rPr>
          <w:b/>
          <w:bCs/>
          <w:i/>
          <w:color w:val="000000"/>
          <w:sz w:val="22"/>
        </w:rPr>
        <w:t xml:space="preserve"> рік</w:t>
      </w:r>
    </w:p>
    <w:p w14:paraId="79AA5A5C" w14:textId="77777777" w:rsidR="00144E8C" w:rsidRPr="001D12D7" w:rsidRDefault="00144E8C" w:rsidP="00144E8C">
      <w:pPr>
        <w:jc w:val="center"/>
        <w:rPr>
          <w:caps/>
          <w:sz w:val="24"/>
          <w:szCs w:val="24"/>
        </w:rPr>
      </w:pPr>
    </w:p>
    <w:p w14:paraId="175978A1" w14:textId="77777777" w:rsidR="00144E8C" w:rsidRPr="001D12D7" w:rsidRDefault="00144E8C" w:rsidP="00144E8C">
      <w:pPr>
        <w:jc w:val="center"/>
        <w:rPr>
          <w:caps/>
          <w:sz w:val="24"/>
          <w:szCs w:val="24"/>
        </w:rPr>
      </w:pPr>
    </w:p>
    <w:p w14:paraId="5E75800B" w14:textId="77777777" w:rsidR="00144E8C" w:rsidRPr="001D12D7" w:rsidRDefault="00144E8C" w:rsidP="00144E8C">
      <w:pPr>
        <w:jc w:val="center"/>
        <w:rPr>
          <w:caps/>
          <w:sz w:val="24"/>
          <w:szCs w:val="24"/>
        </w:rPr>
      </w:pPr>
    </w:p>
    <w:p w14:paraId="5CBE11BE" w14:textId="77777777" w:rsidR="00144E8C" w:rsidRPr="001D12D7" w:rsidRDefault="00144E8C" w:rsidP="00144E8C">
      <w:pPr>
        <w:jc w:val="center"/>
        <w:rPr>
          <w:caps/>
          <w:sz w:val="24"/>
          <w:szCs w:val="24"/>
        </w:rPr>
      </w:pPr>
    </w:p>
    <w:p w14:paraId="0F634B3F" w14:textId="77777777" w:rsidR="00144E8C" w:rsidRPr="001D12D7" w:rsidRDefault="00144E8C" w:rsidP="00144E8C">
      <w:pPr>
        <w:jc w:val="center"/>
        <w:rPr>
          <w:caps/>
          <w:sz w:val="24"/>
          <w:szCs w:val="24"/>
        </w:rPr>
      </w:pPr>
    </w:p>
    <w:p w14:paraId="5E33CE5D" w14:textId="77777777" w:rsidR="005C76DF" w:rsidRPr="001D12D7" w:rsidRDefault="005C76DF" w:rsidP="00144E8C">
      <w:pPr>
        <w:rPr>
          <w:b/>
          <w:sz w:val="28"/>
          <w:szCs w:val="28"/>
          <w:lang w:eastAsia="ru-RU"/>
        </w:rPr>
      </w:pPr>
    </w:p>
    <w:p w14:paraId="576F982A" w14:textId="77777777" w:rsidR="005C76DF" w:rsidRPr="001D12D7" w:rsidRDefault="005C76DF" w:rsidP="00144E8C">
      <w:pPr>
        <w:rPr>
          <w:b/>
          <w:sz w:val="28"/>
          <w:szCs w:val="28"/>
          <w:lang w:eastAsia="ru-RU"/>
        </w:rPr>
      </w:pPr>
    </w:p>
    <w:p w14:paraId="6F4A6E99" w14:textId="0480ACBE" w:rsidR="00144E8C" w:rsidRPr="001D12D7" w:rsidRDefault="00144E8C" w:rsidP="00144E8C">
      <w:pPr>
        <w:rPr>
          <w:b/>
          <w:sz w:val="28"/>
          <w:szCs w:val="28"/>
          <w:lang w:eastAsia="ru-RU"/>
        </w:rPr>
      </w:pPr>
      <w:r w:rsidRPr="001D12D7">
        <w:rPr>
          <w:b/>
          <w:sz w:val="28"/>
          <w:szCs w:val="28"/>
          <w:lang w:eastAsia="ru-RU"/>
        </w:rPr>
        <w:t>ЗВІТ З НАДАННЯ ВПЕВНЕНОСТІ  НЕЗАЛЕЖНОГО ПРАКТИКУЮЧОГО ФАХІВЦЯ</w:t>
      </w:r>
    </w:p>
    <w:p w14:paraId="1581E510" w14:textId="77777777" w:rsidR="00144E8C" w:rsidRPr="001D12D7" w:rsidRDefault="00144E8C" w:rsidP="00144E8C">
      <w:pPr>
        <w:jc w:val="right"/>
        <w:rPr>
          <w:b/>
          <w:sz w:val="24"/>
          <w:szCs w:val="24"/>
          <w:lang w:eastAsia="ru-RU"/>
        </w:rPr>
      </w:pPr>
    </w:p>
    <w:p w14:paraId="333D457E" w14:textId="77777777" w:rsidR="00144E8C" w:rsidRPr="001D12D7" w:rsidRDefault="00144E8C" w:rsidP="00144E8C">
      <w:pPr>
        <w:jc w:val="right"/>
        <w:rPr>
          <w:bCs/>
          <w:i/>
          <w:lang w:eastAsia="ru-RU"/>
        </w:rPr>
      </w:pPr>
      <w:r w:rsidRPr="001D12D7">
        <w:rPr>
          <w:bCs/>
          <w:i/>
          <w:lang w:eastAsia="ru-RU"/>
        </w:rPr>
        <w:t xml:space="preserve">Учасникам та керівництву </w:t>
      </w:r>
    </w:p>
    <w:p w14:paraId="509FD2D5" w14:textId="31F33BE2" w:rsidR="00144E8C" w:rsidRPr="001D12D7" w:rsidRDefault="00A8206F" w:rsidP="00144E8C">
      <w:pPr>
        <w:jc w:val="right"/>
        <w:rPr>
          <w:bCs/>
          <w:i/>
          <w:lang w:eastAsia="ru-RU"/>
        </w:rPr>
      </w:pPr>
      <w:r w:rsidRPr="001D12D7">
        <w:rPr>
          <w:bCs/>
          <w:i/>
          <w:lang w:eastAsia="ru-RU"/>
        </w:rPr>
        <w:t>ПОВНОГО ТОВАРИСТВА</w:t>
      </w:r>
      <w:r w:rsidR="00094478" w:rsidRPr="001D12D7">
        <w:rPr>
          <w:bCs/>
          <w:i/>
          <w:lang w:eastAsia="ru-RU"/>
        </w:rPr>
        <w:t xml:space="preserve"> </w:t>
      </w:r>
      <w:r w:rsidRPr="001D12D7">
        <w:rPr>
          <w:bCs/>
          <w:i/>
          <w:lang w:eastAsia="ru-RU"/>
        </w:rPr>
        <w:t xml:space="preserve"> </w:t>
      </w:r>
      <w:r w:rsidR="00144E8C" w:rsidRPr="001D12D7">
        <w:rPr>
          <w:bCs/>
          <w:i/>
          <w:lang w:eastAsia="ru-RU"/>
        </w:rPr>
        <w:t>«</w:t>
      </w:r>
      <w:r w:rsidR="00C16CD1" w:rsidRPr="001D12D7">
        <w:rPr>
          <w:bCs/>
          <w:i/>
          <w:lang w:eastAsia="ru-RU"/>
        </w:rPr>
        <w:t>ДІЛА ЛОМБАРД-ДІАСАМІДЗЕ  ДАВІД ШУКРІЄВИЧ ТА ДІМОВА ЛАРИСА МИКОЛАЇВНА</w:t>
      </w:r>
      <w:r w:rsidR="00144E8C" w:rsidRPr="001D12D7">
        <w:rPr>
          <w:bCs/>
          <w:i/>
          <w:lang w:eastAsia="ru-RU"/>
        </w:rPr>
        <w:t>»</w:t>
      </w:r>
    </w:p>
    <w:p w14:paraId="1E6809FA" w14:textId="3F9A2F2B" w:rsidR="00144E8C" w:rsidRPr="001D12D7" w:rsidRDefault="00A8206F" w:rsidP="00144E8C">
      <w:pPr>
        <w:jc w:val="right"/>
        <w:rPr>
          <w:bCs/>
          <w:i/>
          <w:lang w:eastAsia="ru-RU"/>
        </w:rPr>
      </w:pPr>
      <w:r w:rsidRPr="001D12D7">
        <w:rPr>
          <w:bCs/>
          <w:i/>
          <w:lang w:eastAsia="ru-RU"/>
        </w:rPr>
        <w:t>НАЦІОНАЛЬНОМУ БАНКУ УКРАЇНИ</w:t>
      </w:r>
    </w:p>
    <w:p w14:paraId="18537212" w14:textId="4C1F06DB" w:rsidR="00144E8C" w:rsidRPr="001D12D7" w:rsidRDefault="00B61DB7" w:rsidP="00B61DB7">
      <w:pPr>
        <w:tabs>
          <w:tab w:val="left" w:pos="3722"/>
          <w:tab w:val="right" w:pos="9298"/>
        </w:tabs>
        <w:rPr>
          <w:bCs/>
          <w:i/>
          <w:sz w:val="22"/>
          <w:szCs w:val="22"/>
          <w:lang w:eastAsia="ru-RU"/>
        </w:rPr>
      </w:pPr>
      <w:r w:rsidRPr="001D12D7">
        <w:rPr>
          <w:bCs/>
          <w:i/>
          <w:lang w:eastAsia="ru-RU"/>
        </w:rPr>
        <w:tab/>
      </w:r>
      <w:r w:rsidRPr="001D12D7">
        <w:rPr>
          <w:bCs/>
          <w:i/>
          <w:lang w:eastAsia="ru-RU"/>
        </w:rPr>
        <w:tab/>
      </w:r>
      <w:r w:rsidR="00144E8C" w:rsidRPr="001D12D7">
        <w:rPr>
          <w:bCs/>
          <w:i/>
          <w:lang w:eastAsia="ru-RU"/>
        </w:rPr>
        <w:t xml:space="preserve"> (далі – </w:t>
      </w:r>
      <w:r w:rsidR="00144E8C" w:rsidRPr="001D12D7">
        <w:rPr>
          <w:bCs/>
          <w:i/>
          <w:lang w:val="ru-RU" w:eastAsia="ru-RU"/>
        </w:rPr>
        <w:t>НБУ</w:t>
      </w:r>
      <w:r w:rsidR="00144E8C" w:rsidRPr="001D12D7">
        <w:rPr>
          <w:bCs/>
          <w:i/>
          <w:lang w:eastAsia="ru-RU"/>
        </w:rPr>
        <w:t>)</w:t>
      </w:r>
    </w:p>
    <w:p w14:paraId="544BE37F" w14:textId="77777777" w:rsidR="00144E8C" w:rsidRPr="001D12D7" w:rsidRDefault="00144E8C" w:rsidP="00144E8C">
      <w:pPr>
        <w:ind w:right="-61"/>
        <w:rPr>
          <w:bCs/>
          <w:sz w:val="22"/>
          <w:szCs w:val="22"/>
          <w:lang w:eastAsia="ru-RU"/>
        </w:rPr>
      </w:pPr>
    </w:p>
    <w:p w14:paraId="7E63597F" w14:textId="77777777" w:rsidR="00144E8C" w:rsidRPr="001D12D7" w:rsidRDefault="00144E8C" w:rsidP="00144E8C">
      <w:pPr>
        <w:ind w:left="-180" w:right="-61"/>
        <w:jc w:val="both"/>
        <w:rPr>
          <w:b/>
          <w:i/>
          <w:sz w:val="24"/>
          <w:szCs w:val="24"/>
        </w:rPr>
      </w:pPr>
      <w:r w:rsidRPr="001D12D7">
        <w:rPr>
          <w:b/>
          <w:i/>
          <w:sz w:val="24"/>
          <w:szCs w:val="24"/>
        </w:rPr>
        <w:t>Ідентифікація та опис інформації про предмет завдання</w:t>
      </w:r>
    </w:p>
    <w:p w14:paraId="6B3CE505" w14:textId="23C72618" w:rsidR="00B61DB7" w:rsidRPr="001D12D7" w:rsidRDefault="00144E8C" w:rsidP="00B61DB7">
      <w:pPr>
        <w:ind w:firstLine="851"/>
        <w:jc w:val="both"/>
        <w:rPr>
          <w:sz w:val="24"/>
          <w:szCs w:val="24"/>
          <w:lang w:eastAsia="ru-RU"/>
        </w:rPr>
      </w:pPr>
      <w:r w:rsidRPr="001D12D7">
        <w:rPr>
          <w:sz w:val="24"/>
          <w:szCs w:val="24"/>
        </w:rPr>
        <w:t xml:space="preserve">Ми виконали завдання з надання обґрунтованої впевненості щодо відповідності звітних даних </w:t>
      </w:r>
      <w:r w:rsidR="00A8206F" w:rsidRPr="001D12D7">
        <w:rPr>
          <w:iCs/>
          <w:sz w:val="24"/>
          <w:szCs w:val="24"/>
        </w:rPr>
        <w:t>ПОВНОГО ТОВАРИСТВА</w:t>
      </w:r>
      <w:r w:rsidRPr="001D12D7">
        <w:rPr>
          <w:iCs/>
          <w:sz w:val="24"/>
          <w:szCs w:val="24"/>
        </w:rPr>
        <w:t>«</w:t>
      </w:r>
      <w:r w:rsidR="00C16CD1" w:rsidRPr="001D12D7">
        <w:rPr>
          <w:iCs/>
          <w:sz w:val="24"/>
          <w:szCs w:val="24"/>
        </w:rPr>
        <w:t>ДІЛА ЛОМБАРД-ДІАСАМІДЗЕ  ДАВІД ШУКРІЄВИЧ ТА ДІМОВА ЛАРИСА МИКОЛАЇВНА</w:t>
      </w:r>
      <w:r w:rsidRPr="001D12D7">
        <w:rPr>
          <w:iCs/>
          <w:sz w:val="24"/>
          <w:szCs w:val="24"/>
        </w:rPr>
        <w:t xml:space="preserve">» </w:t>
      </w:r>
      <w:r w:rsidRPr="001D12D7">
        <w:rPr>
          <w:snapToGrid w:val="0"/>
          <w:sz w:val="24"/>
          <w:szCs w:val="24"/>
        </w:rPr>
        <w:t xml:space="preserve">(далі – Товариство) за </w:t>
      </w:r>
      <w:r w:rsidR="00BF08E6" w:rsidRPr="001D12D7">
        <w:rPr>
          <w:snapToGrid w:val="0"/>
          <w:sz w:val="24"/>
          <w:szCs w:val="24"/>
        </w:rPr>
        <w:t>2024</w:t>
      </w:r>
      <w:r w:rsidRPr="001D12D7">
        <w:rPr>
          <w:snapToGrid w:val="0"/>
          <w:sz w:val="24"/>
          <w:szCs w:val="24"/>
        </w:rPr>
        <w:t xml:space="preserve"> рік вимогам </w:t>
      </w:r>
      <w:r w:rsidRPr="001D12D7">
        <w:rPr>
          <w:sz w:val="24"/>
          <w:szCs w:val="24"/>
        </w:rPr>
        <w:t>постанови Правління Національного банку України від 25 листопада 2021 року № 123 «Про затвердження Правил складання та подання звітності учасниками ринку небанківських фінансових послуг до Національного банку України»</w:t>
      </w:r>
      <w:r w:rsidR="00B61DB7" w:rsidRPr="001D12D7">
        <w:rPr>
          <w:sz w:val="24"/>
          <w:szCs w:val="24"/>
          <w:lang w:eastAsia="ru-RU"/>
        </w:rPr>
        <w:t xml:space="preserve"> та </w:t>
      </w:r>
      <w:bookmarkStart w:id="1" w:name="_Hlk159763008"/>
      <w:r w:rsidR="00B61DB7" w:rsidRPr="001D12D7">
        <w:rPr>
          <w:sz w:val="24"/>
          <w:szCs w:val="24"/>
          <w:lang w:eastAsia="ru-RU"/>
        </w:rPr>
        <w:t xml:space="preserve">підтвердження оцінки окремих статей активів Товариства </w:t>
      </w:r>
      <w:bookmarkEnd w:id="1"/>
      <w:r w:rsidR="00B61DB7" w:rsidRPr="001D12D7">
        <w:rPr>
          <w:sz w:val="24"/>
          <w:szCs w:val="24"/>
          <w:lang w:eastAsia="ru-RU"/>
        </w:rPr>
        <w:t xml:space="preserve">відповідно до вимог Міжнародних стандартів фінансової звітності, яка передбачена «Положенням про авторизацію надавачів фінансових послуг та умови здійснення ними діяльності з надання фінансових послуг», затверджених Постановою Правління Національного банку України№ 199 від 29 грудня </w:t>
      </w:r>
      <w:r w:rsidR="00BF08E6" w:rsidRPr="001D12D7">
        <w:rPr>
          <w:sz w:val="24"/>
          <w:szCs w:val="24"/>
          <w:lang w:eastAsia="ru-RU"/>
        </w:rPr>
        <w:t>2024</w:t>
      </w:r>
      <w:r w:rsidR="00B61DB7" w:rsidRPr="001D12D7">
        <w:rPr>
          <w:sz w:val="24"/>
          <w:szCs w:val="24"/>
          <w:lang w:eastAsia="ru-RU"/>
        </w:rPr>
        <w:t xml:space="preserve"> року (Положення № 199).</w:t>
      </w:r>
    </w:p>
    <w:p w14:paraId="564FEEE2" w14:textId="2FECE1F9" w:rsidR="00E873E2" w:rsidRPr="001D12D7" w:rsidRDefault="00144E8C" w:rsidP="00E873E2">
      <w:pPr>
        <w:ind w:left="-180" w:right="-61"/>
        <w:jc w:val="both"/>
        <w:rPr>
          <w:iCs/>
          <w:sz w:val="24"/>
          <w:szCs w:val="24"/>
        </w:rPr>
      </w:pPr>
      <w:r w:rsidRPr="001D12D7">
        <w:rPr>
          <w:sz w:val="24"/>
          <w:szCs w:val="24"/>
        </w:rPr>
        <w:t>.</w:t>
      </w:r>
    </w:p>
    <w:p w14:paraId="56B526D8" w14:textId="3A05E2F5" w:rsidR="00A8206F" w:rsidRPr="001D12D7" w:rsidRDefault="00A8206F" w:rsidP="00A8206F">
      <w:pPr>
        <w:ind w:left="-180" w:right="-61"/>
        <w:jc w:val="both"/>
        <w:rPr>
          <w:sz w:val="24"/>
          <w:szCs w:val="24"/>
        </w:rPr>
      </w:pPr>
      <w:r w:rsidRPr="001D12D7">
        <w:rPr>
          <w:sz w:val="24"/>
          <w:szCs w:val="24"/>
        </w:rPr>
        <w:t>Звітні дані ломбарду, що додаються, включають:</w:t>
      </w:r>
    </w:p>
    <w:p w14:paraId="3AF14ED2" w14:textId="77777777" w:rsidR="001F267A" w:rsidRPr="001D12D7" w:rsidRDefault="001F267A" w:rsidP="001F267A">
      <w:pPr>
        <w:numPr>
          <w:ilvl w:val="0"/>
          <w:numId w:val="11"/>
        </w:numPr>
        <w:ind w:left="-90" w:firstLine="90"/>
        <w:jc w:val="both"/>
        <w:rPr>
          <w:sz w:val="22"/>
          <w:szCs w:val="22"/>
        </w:rPr>
      </w:pPr>
      <w:r w:rsidRPr="001D12D7">
        <w:rPr>
          <w:sz w:val="22"/>
          <w:szCs w:val="22"/>
        </w:rPr>
        <w:t xml:space="preserve">Дані фінансової звітності </w:t>
      </w:r>
    </w:p>
    <w:p w14:paraId="5669A368" w14:textId="77777777" w:rsidR="001F267A" w:rsidRPr="001D12D7" w:rsidRDefault="001F267A" w:rsidP="001F267A">
      <w:pPr>
        <w:numPr>
          <w:ilvl w:val="0"/>
          <w:numId w:val="11"/>
        </w:numPr>
        <w:ind w:left="-90" w:firstLine="90"/>
        <w:jc w:val="both"/>
        <w:rPr>
          <w:sz w:val="22"/>
          <w:szCs w:val="22"/>
        </w:rPr>
      </w:pPr>
      <w:r w:rsidRPr="001D12D7">
        <w:rPr>
          <w:sz w:val="22"/>
          <w:szCs w:val="22"/>
        </w:rPr>
        <w:t xml:space="preserve">Дані регуляторного балансу </w:t>
      </w:r>
    </w:p>
    <w:p w14:paraId="2DAEB3CF" w14:textId="77777777" w:rsidR="001F267A" w:rsidRPr="001D12D7" w:rsidRDefault="001F267A" w:rsidP="001F267A">
      <w:pPr>
        <w:numPr>
          <w:ilvl w:val="0"/>
          <w:numId w:val="11"/>
        </w:numPr>
        <w:ind w:left="-90" w:firstLine="90"/>
        <w:jc w:val="both"/>
        <w:rPr>
          <w:sz w:val="22"/>
          <w:szCs w:val="22"/>
        </w:rPr>
      </w:pPr>
      <w:proofErr w:type="spellStart"/>
      <w:r w:rsidRPr="001D12D7">
        <w:rPr>
          <w:sz w:val="22"/>
          <w:szCs w:val="22"/>
        </w:rPr>
        <w:t>Дані_консолідованої_фінансової_звітності</w:t>
      </w:r>
      <w:proofErr w:type="spellEnd"/>
      <w:r w:rsidRPr="001D12D7">
        <w:rPr>
          <w:sz w:val="22"/>
          <w:szCs w:val="22"/>
        </w:rPr>
        <w:t xml:space="preserve"> </w:t>
      </w:r>
    </w:p>
    <w:p w14:paraId="2234DCAD" w14:textId="77777777" w:rsidR="001F267A" w:rsidRPr="001D12D7" w:rsidRDefault="001F267A" w:rsidP="001F267A">
      <w:pPr>
        <w:numPr>
          <w:ilvl w:val="0"/>
          <w:numId w:val="11"/>
        </w:numPr>
        <w:ind w:left="-90" w:firstLine="90"/>
        <w:jc w:val="both"/>
        <w:rPr>
          <w:sz w:val="22"/>
          <w:szCs w:val="22"/>
        </w:rPr>
      </w:pPr>
      <w:r w:rsidRPr="001D12D7">
        <w:rPr>
          <w:sz w:val="22"/>
          <w:szCs w:val="22"/>
        </w:rPr>
        <w:t xml:space="preserve">Дані  про позабалансові зобов’язання </w:t>
      </w:r>
    </w:p>
    <w:p w14:paraId="61028F78" w14:textId="77777777" w:rsidR="001F267A" w:rsidRPr="001D12D7" w:rsidRDefault="001F267A" w:rsidP="001F267A">
      <w:pPr>
        <w:numPr>
          <w:ilvl w:val="0"/>
          <w:numId w:val="11"/>
        </w:numPr>
        <w:ind w:left="-90" w:firstLine="90"/>
        <w:jc w:val="both"/>
        <w:rPr>
          <w:sz w:val="22"/>
          <w:szCs w:val="22"/>
        </w:rPr>
      </w:pPr>
      <w:r w:rsidRPr="001D12D7">
        <w:rPr>
          <w:sz w:val="22"/>
          <w:szCs w:val="22"/>
        </w:rPr>
        <w:t xml:space="preserve">Дані про дебіторську та кредиторську заборгованість </w:t>
      </w:r>
    </w:p>
    <w:p w14:paraId="3A46D865" w14:textId="77777777" w:rsidR="001F267A" w:rsidRPr="001D12D7" w:rsidRDefault="001F267A" w:rsidP="001F267A">
      <w:pPr>
        <w:numPr>
          <w:ilvl w:val="0"/>
          <w:numId w:val="11"/>
        </w:numPr>
        <w:ind w:left="-90" w:firstLine="90"/>
        <w:jc w:val="both"/>
        <w:rPr>
          <w:sz w:val="22"/>
          <w:szCs w:val="22"/>
        </w:rPr>
      </w:pPr>
      <w:r w:rsidRPr="001D12D7">
        <w:rPr>
          <w:sz w:val="22"/>
          <w:szCs w:val="22"/>
        </w:rPr>
        <w:t xml:space="preserve">Грошові  кошти та </w:t>
      </w:r>
      <w:proofErr w:type="spellStart"/>
      <w:r w:rsidRPr="001D12D7">
        <w:rPr>
          <w:sz w:val="22"/>
          <w:szCs w:val="22"/>
        </w:rPr>
        <w:t>іх</w:t>
      </w:r>
      <w:proofErr w:type="spellEnd"/>
      <w:r w:rsidRPr="001D12D7">
        <w:rPr>
          <w:sz w:val="22"/>
          <w:szCs w:val="22"/>
        </w:rPr>
        <w:t xml:space="preserve"> еквіваленти </w:t>
      </w:r>
    </w:p>
    <w:p w14:paraId="4AE86073" w14:textId="77777777" w:rsidR="001F267A" w:rsidRPr="001D12D7" w:rsidRDefault="001F267A" w:rsidP="001F267A">
      <w:pPr>
        <w:numPr>
          <w:ilvl w:val="0"/>
          <w:numId w:val="11"/>
        </w:numPr>
        <w:ind w:left="-90" w:firstLine="90"/>
        <w:jc w:val="both"/>
        <w:rPr>
          <w:sz w:val="22"/>
          <w:szCs w:val="22"/>
        </w:rPr>
      </w:pPr>
      <w:r w:rsidRPr="001D12D7">
        <w:rPr>
          <w:sz w:val="22"/>
          <w:szCs w:val="22"/>
        </w:rPr>
        <w:t xml:space="preserve">Дані про </w:t>
      </w:r>
      <w:proofErr w:type="spellStart"/>
      <w:r w:rsidRPr="001D12D7">
        <w:rPr>
          <w:sz w:val="22"/>
          <w:szCs w:val="22"/>
        </w:rPr>
        <w:t>субординований</w:t>
      </w:r>
      <w:proofErr w:type="spellEnd"/>
      <w:r w:rsidRPr="001D12D7">
        <w:rPr>
          <w:sz w:val="22"/>
          <w:szCs w:val="22"/>
        </w:rPr>
        <w:t xml:space="preserve"> борг фінансової компанії </w:t>
      </w:r>
    </w:p>
    <w:p w14:paraId="4FC8F9BD" w14:textId="77777777" w:rsidR="001F267A" w:rsidRPr="001D12D7" w:rsidRDefault="001F267A" w:rsidP="001F267A">
      <w:pPr>
        <w:numPr>
          <w:ilvl w:val="0"/>
          <w:numId w:val="11"/>
        </w:numPr>
        <w:ind w:left="-90" w:firstLine="90"/>
        <w:jc w:val="both"/>
        <w:rPr>
          <w:sz w:val="22"/>
          <w:szCs w:val="22"/>
        </w:rPr>
      </w:pPr>
      <w:r w:rsidRPr="001D12D7">
        <w:rPr>
          <w:sz w:val="22"/>
          <w:szCs w:val="22"/>
        </w:rPr>
        <w:t xml:space="preserve">Дані про залучені кошти </w:t>
      </w:r>
    </w:p>
    <w:p w14:paraId="6C2198F4" w14:textId="77777777" w:rsidR="001F267A" w:rsidRPr="001D12D7" w:rsidRDefault="001F267A" w:rsidP="001F267A">
      <w:pPr>
        <w:numPr>
          <w:ilvl w:val="0"/>
          <w:numId w:val="11"/>
        </w:numPr>
        <w:ind w:left="-90" w:firstLine="90"/>
        <w:jc w:val="both"/>
        <w:rPr>
          <w:sz w:val="22"/>
          <w:szCs w:val="22"/>
        </w:rPr>
      </w:pPr>
      <w:r w:rsidRPr="001D12D7">
        <w:rPr>
          <w:sz w:val="22"/>
          <w:szCs w:val="22"/>
        </w:rPr>
        <w:t xml:space="preserve">Дані про структуру інвестицій фінансової компанії </w:t>
      </w:r>
    </w:p>
    <w:p w14:paraId="5FF5CBEA" w14:textId="77777777" w:rsidR="001F267A" w:rsidRPr="001D12D7" w:rsidRDefault="001F267A" w:rsidP="001F267A">
      <w:pPr>
        <w:numPr>
          <w:ilvl w:val="0"/>
          <w:numId w:val="11"/>
        </w:numPr>
        <w:ind w:left="-90" w:firstLine="90"/>
        <w:jc w:val="both"/>
        <w:rPr>
          <w:sz w:val="22"/>
          <w:szCs w:val="22"/>
        </w:rPr>
      </w:pPr>
      <w:r w:rsidRPr="001D12D7">
        <w:rPr>
          <w:sz w:val="22"/>
          <w:szCs w:val="22"/>
        </w:rPr>
        <w:t xml:space="preserve">Дані  про договори та операції за наданими кредитами </w:t>
      </w:r>
    </w:p>
    <w:p w14:paraId="739CB2D6" w14:textId="77777777" w:rsidR="001F267A" w:rsidRPr="001D12D7" w:rsidRDefault="001F267A" w:rsidP="001F267A">
      <w:pPr>
        <w:numPr>
          <w:ilvl w:val="0"/>
          <w:numId w:val="11"/>
        </w:numPr>
        <w:ind w:left="-90" w:firstLine="90"/>
        <w:jc w:val="both"/>
        <w:rPr>
          <w:sz w:val="22"/>
          <w:szCs w:val="22"/>
        </w:rPr>
      </w:pPr>
      <w:r w:rsidRPr="001D12D7">
        <w:rPr>
          <w:sz w:val="22"/>
          <w:szCs w:val="22"/>
        </w:rPr>
        <w:t xml:space="preserve">Дані  про компенсації та  дорогоцінні метали </w:t>
      </w:r>
    </w:p>
    <w:p w14:paraId="3B3336C2" w14:textId="77777777" w:rsidR="00144E8C" w:rsidRPr="001D12D7" w:rsidRDefault="00144E8C" w:rsidP="00144E8C">
      <w:pPr>
        <w:ind w:left="-567" w:right="-61"/>
        <w:jc w:val="both"/>
        <w:rPr>
          <w:b/>
          <w:i/>
          <w:sz w:val="24"/>
          <w:szCs w:val="24"/>
        </w:rPr>
      </w:pPr>
      <w:r w:rsidRPr="001D12D7">
        <w:rPr>
          <w:b/>
          <w:i/>
          <w:sz w:val="24"/>
          <w:szCs w:val="24"/>
        </w:rPr>
        <w:t xml:space="preserve">       Застосовні критерії</w:t>
      </w:r>
    </w:p>
    <w:p w14:paraId="36C88C31" w14:textId="77777777" w:rsidR="00144E8C" w:rsidRPr="001D12D7" w:rsidRDefault="00144E8C" w:rsidP="00144E8C">
      <w:pPr>
        <w:ind w:right="-61"/>
        <w:jc w:val="both"/>
        <w:rPr>
          <w:b/>
          <w:i/>
          <w:sz w:val="24"/>
          <w:szCs w:val="24"/>
        </w:rPr>
      </w:pPr>
      <w:r w:rsidRPr="001D12D7">
        <w:rPr>
          <w:sz w:val="24"/>
          <w:szCs w:val="24"/>
        </w:rPr>
        <w:t>Критеріями, застосованими до обсягу нашого завдання, були:</w:t>
      </w:r>
      <w:r w:rsidRPr="001D12D7">
        <w:rPr>
          <w:b/>
          <w:i/>
          <w:sz w:val="24"/>
          <w:szCs w:val="24"/>
        </w:rPr>
        <w:t xml:space="preserve"> </w:t>
      </w:r>
    </w:p>
    <w:p w14:paraId="46B6F3DD" w14:textId="77777777" w:rsidR="00144E8C" w:rsidRPr="001D12D7" w:rsidRDefault="00144E8C" w:rsidP="00144E8C">
      <w:pPr>
        <w:numPr>
          <w:ilvl w:val="0"/>
          <w:numId w:val="1"/>
        </w:numPr>
        <w:ind w:right="-61"/>
        <w:jc w:val="both"/>
        <w:rPr>
          <w:sz w:val="24"/>
          <w:szCs w:val="24"/>
        </w:rPr>
      </w:pPr>
      <w:r w:rsidRPr="001D12D7">
        <w:rPr>
          <w:sz w:val="24"/>
          <w:szCs w:val="24"/>
        </w:rPr>
        <w:t>Закон України «Про фінансові послуги та державне регулювання ринків фінансових послуг» від 12.07.2001р. № 2664-ІІІ (зі змінами і доповненнями);</w:t>
      </w:r>
    </w:p>
    <w:p w14:paraId="52817AE1" w14:textId="42D85F11" w:rsidR="005C76DF" w:rsidRPr="001D12D7" w:rsidRDefault="00144E8C" w:rsidP="005C76DF">
      <w:pPr>
        <w:numPr>
          <w:ilvl w:val="0"/>
          <w:numId w:val="1"/>
        </w:numPr>
        <w:ind w:right="-61"/>
        <w:jc w:val="both"/>
        <w:rPr>
          <w:sz w:val="24"/>
          <w:szCs w:val="24"/>
        </w:rPr>
      </w:pPr>
      <w:r w:rsidRPr="001D12D7">
        <w:rPr>
          <w:sz w:val="24"/>
          <w:szCs w:val="24"/>
        </w:rPr>
        <w:t>Постанова Правління Національного банку України від 25 листопада 2021 року № 123 «Про затвердження Правил складання та подання звітності учасниками ринку небанківських фінансових послуг до Національного банку України» (далі – Правила №123).</w:t>
      </w:r>
    </w:p>
    <w:p w14:paraId="51176F6C" w14:textId="77777777" w:rsidR="00B61DB7" w:rsidRPr="001D12D7" w:rsidRDefault="00B61DB7" w:rsidP="00B61DB7">
      <w:pPr>
        <w:pStyle w:val="a7"/>
        <w:numPr>
          <w:ilvl w:val="0"/>
          <w:numId w:val="1"/>
        </w:numPr>
        <w:jc w:val="both"/>
        <w:rPr>
          <w:rFonts w:ascii="Times New Roman" w:hAnsi="Times New Roman"/>
          <w:sz w:val="24"/>
          <w:szCs w:val="24"/>
          <w:lang w:eastAsia="ru-RU"/>
        </w:rPr>
      </w:pPr>
      <w:r w:rsidRPr="001D12D7">
        <w:rPr>
          <w:rFonts w:ascii="Times New Roman" w:hAnsi="Times New Roman"/>
          <w:sz w:val="24"/>
          <w:szCs w:val="24"/>
          <w:lang w:eastAsia="ru-RU"/>
        </w:rPr>
        <w:t xml:space="preserve">Критерії ж щодо </w:t>
      </w:r>
      <w:bookmarkStart w:id="2" w:name="_Hlk159751583"/>
      <w:r w:rsidRPr="001D12D7">
        <w:rPr>
          <w:rFonts w:ascii="Times New Roman" w:hAnsi="Times New Roman"/>
          <w:sz w:val="24"/>
          <w:szCs w:val="24"/>
          <w:lang w:eastAsia="ru-RU"/>
        </w:rPr>
        <w:t>оцінки окремих статей активів Товариства визначені у Міжнародних стандартах фінансової звітності.</w:t>
      </w:r>
    </w:p>
    <w:bookmarkEnd w:id="2"/>
    <w:p w14:paraId="3A08DA21" w14:textId="075F33EF" w:rsidR="00144E8C" w:rsidRPr="001D12D7" w:rsidRDefault="00144E8C" w:rsidP="00144E8C">
      <w:pPr>
        <w:spacing w:before="240"/>
        <w:ind w:left="-567" w:right="-61" w:firstLine="567"/>
        <w:jc w:val="both"/>
        <w:rPr>
          <w:b/>
          <w:i/>
          <w:sz w:val="24"/>
          <w:szCs w:val="24"/>
        </w:rPr>
      </w:pPr>
      <w:r w:rsidRPr="001D12D7">
        <w:rPr>
          <w:b/>
          <w:i/>
          <w:sz w:val="24"/>
          <w:szCs w:val="24"/>
        </w:rPr>
        <w:t>Конкретна мета</w:t>
      </w:r>
    </w:p>
    <w:p w14:paraId="00A4E687" w14:textId="77777777" w:rsidR="00144E8C" w:rsidRPr="001D12D7" w:rsidRDefault="00144E8C" w:rsidP="00144E8C">
      <w:pPr>
        <w:spacing w:after="240"/>
        <w:ind w:right="-61"/>
        <w:jc w:val="both"/>
        <w:rPr>
          <w:sz w:val="24"/>
          <w:szCs w:val="24"/>
        </w:rPr>
      </w:pPr>
      <w:r w:rsidRPr="001D12D7">
        <w:rPr>
          <w:sz w:val="24"/>
          <w:szCs w:val="24"/>
        </w:rPr>
        <w:t>Оскільки застосовні критерії визначені у Правилах №123, розроблені Національним банком України з регуляторними цілями, попереджаємо, що інформація з предмета завдання може не підходити для іншої мети.</w:t>
      </w:r>
    </w:p>
    <w:p w14:paraId="512C87E8" w14:textId="77777777" w:rsidR="00144E8C" w:rsidRPr="001D12D7" w:rsidRDefault="00144E8C" w:rsidP="00144E8C">
      <w:pPr>
        <w:ind w:left="-567" w:right="-61" w:firstLine="567"/>
        <w:jc w:val="both"/>
        <w:rPr>
          <w:b/>
          <w:i/>
          <w:sz w:val="24"/>
          <w:szCs w:val="24"/>
        </w:rPr>
      </w:pPr>
      <w:r w:rsidRPr="001D12D7">
        <w:rPr>
          <w:b/>
          <w:i/>
          <w:sz w:val="24"/>
          <w:szCs w:val="24"/>
        </w:rPr>
        <w:t>Відносна відповідальність управлінського персоналу</w:t>
      </w:r>
    </w:p>
    <w:p w14:paraId="3466B855" w14:textId="2E687397" w:rsidR="00144E8C" w:rsidRPr="001D12D7" w:rsidRDefault="00144E8C" w:rsidP="00144E8C">
      <w:pPr>
        <w:spacing w:after="240"/>
        <w:ind w:right="-61"/>
        <w:jc w:val="both"/>
        <w:rPr>
          <w:sz w:val="24"/>
          <w:szCs w:val="24"/>
        </w:rPr>
      </w:pPr>
      <w:r w:rsidRPr="001D12D7">
        <w:rPr>
          <w:sz w:val="24"/>
          <w:szCs w:val="24"/>
        </w:rPr>
        <w:t xml:space="preserve">Управлінський персонал несе відповідальність за складання звітних даних, відповідно до чинного законодавства України та Правил №123, і за такий внутрішній контроль, який він </w:t>
      </w:r>
      <w:r w:rsidRPr="001D12D7">
        <w:rPr>
          <w:sz w:val="24"/>
          <w:szCs w:val="24"/>
        </w:rPr>
        <w:lastRenderedPageBreak/>
        <w:t>вважає необхідним для складання звітних даних, що не містять суттєвих викривлень внаслідок шахрайства або помилки.</w:t>
      </w:r>
    </w:p>
    <w:p w14:paraId="63BA6D25" w14:textId="77777777" w:rsidR="00144E8C" w:rsidRPr="001D12D7" w:rsidRDefault="00144E8C" w:rsidP="00144E8C">
      <w:pPr>
        <w:ind w:left="-567" w:right="-61" w:firstLine="567"/>
        <w:jc w:val="both"/>
        <w:rPr>
          <w:b/>
          <w:i/>
          <w:sz w:val="24"/>
          <w:szCs w:val="24"/>
        </w:rPr>
      </w:pPr>
      <w:r w:rsidRPr="001D12D7">
        <w:rPr>
          <w:b/>
          <w:i/>
          <w:sz w:val="24"/>
          <w:szCs w:val="24"/>
        </w:rPr>
        <w:t>Відносна відповідальність аудитора</w:t>
      </w:r>
    </w:p>
    <w:p w14:paraId="01F9FD3C" w14:textId="28A68684" w:rsidR="00144E8C" w:rsidRPr="001D12D7" w:rsidRDefault="00144E8C" w:rsidP="00144E8C">
      <w:pPr>
        <w:spacing w:after="240"/>
        <w:ind w:right="-61"/>
        <w:jc w:val="both"/>
        <w:rPr>
          <w:sz w:val="24"/>
          <w:szCs w:val="24"/>
        </w:rPr>
      </w:pPr>
      <w:r w:rsidRPr="001D12D7">
        <w:rPr>
          <w:sz w:val="24"/>
          <w:szCs w:val="24"/>
        </w:rPr>
        <w:t xml:space="preserve">Нашою відповідальністю є висловлення думки щодо відповідності звітних даних </w:t>
      </w:r>
      <w:r w:rsidR="00A8206F" w:rsidRPr="001D12D7">
        <w:rPr>
          <w:iCs/>
          <w:sz w:val="24"/>
          <w:szCs w:val="24"/>
        </w:rPr>
        <w:t>ПОВНОГО ТОВАРИСТВА</w:t>
      </w:r>
      <w:r w:rsidR="00C102D1" w:rsidRPr="001D12D7">
        <w:rPr>
          <w:iCs/>
          <w:sz w:val="24"/>
          <w:szCs w:val="24"/>
        </w:rPr>
        <w:t xml:space="preserve"> </w:t>
      </w:r>
      <w:r w:rsidRPr="001D12D7">
        <w:rPr>
          <w:iCs/>
          <w:sz w:val="24"/>
          <w:szCs w:val="24"/>
        </w:rPr>
        <w:t>«</w:t>
      </w:r>
      <w:r w:rsidR="00C16CD1" w:rsidRPr="001D12D7">
        <w:rPr>
          <w:iCs/>
          <w:sz w:val="24"/>
          <w:szCs w:val="24"/>
        </w:rPr>
        <w:t>ДІЛА ЛОМБАРД-ДІАСАМІДЗЕ  ДАВІД ШУКРІЄВИЧ ТА ДІМОВА ЛАРИСА МИКОЛАЇВНА</w:t>
      </w:r>
      <w:r w:rsidRPr="001D12D7">
        <w:rPr>
          <w:iCs/>
          <w:sz w:val="24"/>
          <w:szCs w:val="24"/>
        </w:rPr>
        <w:t xml:space="preserve">» </w:t>
      </w:r>
      <w:r w:rsidRPr="001D12D7">
        <w:rPr>
          <w:snapToGrid w:val="0"/>
          <w:sz w:val="24"/>
          <w:szCs w:val="24"/>
        </w:rPr>
        <w:t xml:space="preserve">за </w:t>
      </w:r>
      <w:r w:rsidR="00BF08E6" w:rsidRPr="001D12D7">
        <w:rPr>
          <w:snapToGrid w:val="0"/>
          <w:sz w:val="24"/>
          <w:szCs w:val="24"/>
        </w:rPr>
        <w:t>2024</w:t>
      </w:r>
      <w:r w:rsidRPr="001D12D7">
        <w:rPr>
          <w:snapToGrid w:val="0"/>
          <w:sz w:val="24"/>
          <w:szCs w:val="24"/>
        </w:rPr>
        <w:t xml:space="preserve"> рік вимогам </w:t>
      </w:r>
      <w:r w:rsidRPr="001D12D7">
        <w:rPr>
          <w:sz w:val="24"/>
          <w:szCs w:val="24"/>
        </w:rPr>
        <w:t>постанови Правління Національного банку України від 25 листопада 2021 року № 123 «Про затвердження Правил складання та подання звітності учасниками ринку небанківських фінансових послуг до Національного банку України».</w:t>
      </w:r>
    </w:p>
    <w:p w14:paraId="6E74A3A3" w14:textId="77777777" w:rsidR="00144E8C" w:rsidRPr="001D12D7" w:rsidRDefault="00144E8C" w:rsidP="00144E8C">
      <w:pPr>
        <w:spacing w:after="240"/>
        <w:ind w:right="-61"/>
        <w:jc w:val="both"/>
        <w:rPr>
          <w:sz w:val="24"/>
          <w:szCs w:val="24"/>
        </w:rPr>
      </w:pPr>
      <w:r w:rsidRPr="001D12D7">
        <w:rPr>
          <w:sz w:val="24"/>
          <w:szCs w:val="24"/>
        </w:rPr>
        <w:t>Ми виконали наше завдання з надання впевненості відповідно до Міжнародного стандарту завдання з надання впевненості 3000 (переглянутий) «Завдання з надання впевненості, що не є аудитом чи оглядом історичної фінансової інформації» (далі – МСЗНВ 3000). Цей стандарт вимагає від нас дотримання етичних вимог, а також планування й виконання завдання для отримання достатніх і прийнятних доказів для того, щоб надати висновок, призначений підвищити ступінь довіри користувачів, інших ніж відповідальна сторона, до звітних даних Товариства за відповідними критеріями.</w:t>
      </w:r>
    </w:p>
    <w:p w14:paraId="0BB690F1" w14:textId="77777777" w:rsidR="00144E8C" w:rsidRPr="001D12D7" w:rsidRDefault="00144E8C" w:rsidP="00144E8C">
      <w:pPr>
        <w:spacing w:after="240"/>
        <w:ind w:right="-61"/>
        <w:jc w:val="both"/>
        <w:rPr>
          <w:sz w:val="24"/>
          <w:szCs w:val="24"/>
        </w:rPr>
      </w:pPr>
      <w:r w:rsidRPr="001D12D7">
        <w:rPr>
          <w:sz w:val="24"/>
          <w:szCs w:val="24"/>
        </w:rPr>
        <w:t xml:space="preserve">Ми отримали розуміння предмета перевірки та інших обставин завдання, в мірі, достатній для можливості ідентифікувати та оцінити ризики суттєвого викривлення предмета завдання, та отримання таким чином основи для розробки й виконання процедур у відповідь на оцінені ризики і достатньої впевненості на підтримку свого висновку. </w:t>
      </w:r>
    </w:p>
    <w:p w14:paraId="75E3272B" w14:textId="77777777" w:rsidR="00144E8C" w:rsidRPr="001D12D7" w:rsidRDefault="00144E8C" w:rsidP="00144E8C">
      <w:pPr>
        <w:spacing w:after="240"/>
        <w:ind w:right="-61"/>
        <w:jc w:val="both"/>
        <w:rPr>
          <w:sz w:val="24"/>
          <w:szCs w:val="24"/>
        </w:rPr>
      </w:pPr>
      <w:r w:rsidRPr="001D12D7">
        <w:rPr>
          <w:sz w:val="24"/>
          <w:szCs w:val="24"/>
        </w:rPr>
        <w:t xml:space="preserve">Отримуючи розуміння предмета завдання та інших обставин завдання ми також отримали розуміння внутрішнього контролю за підготовкою інформації для предмета завдання доречного до завдання, що включало оцінку конструкції тих заходів контролю, які є доречними до завдання. </w:t>
      </w:r>
    </w:p>
    <w:p w14:paraId="2662909D" w14:textId="77777777" w:rsidR="00144E8C" w:rsidRPr="001D12D7" w:rsidRDefault="00144E8C" w:rsidP="00144E8C">
      <w:pPr>
        <w:spacing w:after="240"/>
        <w:ind w:right="-61"/>
        <w:jc w:val="both"/>
        <w:rPr>
          <w:sz w:val="24"/>
          <w:szCs w:val="24"/>
        </w:rPr>
      </w:pPr>
      <w:r w:rsidRPr="001D12D7">
        <w:rPr>
          <w:sz w:val="24"/>
          <w:szCs w:val="24"/>
        </w:rPr>
        <w:t xml:space="preserve">На основі свого розуміння ми ідентифікували та оцінили ризики суттєвого викривлення предмета завдання, розробили й виконали процедури у відповідь на оцінені ризики та отримали достатню впевненість на підтримку свого висновку. </w:t>
      </w:r>
    </w:p>
    <w:p w14:paraId="2E529168" w14:textId="0B4058E2" w:rsidR="00144E8C" w:rsidRPr="001D12D7" w:rsidRDefault="00144E8C" w:rsidP="00144E8C">
      <w:pPr>
        <w:ind w:left="-567" w:right="-61" w:firstLine="567"/>
        <w:jc w:val="both"/>
        <w:rPr>
          <w:b/>
          <w:i/>
          <w:sz w:val="24"/>
          <w:szCs w:val="24"/>
        </w:rPr>
      </w:pPr>
      <w:r w:rsidRPr="001D12D7">
        <w:rPr>
          <w:b/>
          <w:i/>
          <w:sz w:val="24"/>
          <w:szCs w:val="24"/>
        </w:rPr>
        <w:t xml:space="preserve">Застосовні вимоги </w:t>
      </w:r>
      <w:r w:rsidR="00843C1C" w:rsidRPr="001D12D7">
        <w:rPr>
          <w:b/>
          <w:i/>
          <w:sz w:val="24"/>
          <w:szCs w:val="24"/>
        </w:rPr>
        <w:t>управляння</w:t>
      </w:r>
      <w:r w:rsidRPr="001D12D7">
        <w:rPr>
          <w:b/>
          <w:i/>
          <w:sz w:val="24"/>
          <w:szCs w:val="24"/>
        </w:rPr>
        <w:t xml:space="preserve"> як</w:t>
      </w:r>
      <w:r w:rsidR="00843C1C" w:rsidRPr="001D12D7">
        <w:rPr>
          <w:b/>
          <w:i/>
          <w:sz w:val="24"/>
          <w:szCs w:val="24"/>
        </w:rPr>
        <w:t>і</w:t>
      </w:r>
      <w:r w:rsidRPr="001D12D7">
        <w:rPr>
          <w:b/>
          <w:i/>
          <w:sz w:val="24"/>
          <w:szCs w:val="24"/>
        </w:rPr>
        <w:t>ст</w:t>
      </w:r>
      <w:r w:rsidR="00843C1C" w:rsidRPr="001D12D7">
        <w:rPr>
          <w:b/>
          <w:i/>
          <w:sz w:val="24"/>
          <w:szCs w:val="24"/>
        </w:rPr>
        <w:t>ю</w:t>
      </w:r>
    </w:p>
    <w:p w14:paraId="30A1095D" w14:textId="49C833EF" w:rsidR="00144E8C" w:rsidRPr="001D12D7" w:rsidRDefault="00935F00" w:rsidP="00144E8C">
      <w:pPr>
        <w:spacing w:after="240"/>
        <w:ind w:right="-61"/>
        <w:jc w:val="both"/>
        <w:rPr>
          <w:sz w:val="24"/>
          <w:szCs w:val="24"/>
        </w:rPr>
      </w:pPr>
      <w:r w:rsidRPr="001D12D7">
        <w:rPr>
          <w:sz w:val="24"/>
          <w:szCs w:val="24"/>
        </w:rPr>
        <w:t>Наша аудиторська фірма дотримується вимог Міжнародн</w:t>
      </w:r>
      <w:r w:rsidR="007829FB" w:rsidRPr="001D12D7">
        <w:rPr>
          <w:sz w:val="24"/>
          <w:szCs w:val="24"/>
        </w:rPr>
        <w:t>их</w:t>
      </w:r>
      <w:r w:rsidRPr="001D12D7">
        <w:rPr>
          <w:sz w:val="24"/>
          <w:szCs w:val="24"/>
        </w:rPr>
        <w:t xml:space="preserve"> стандарт</w:t>
      </w:r>
      <w:r w:rsidR="007829FB" w:rsidRPr="001D12D7">
        <w:rPr>
          <w:sz w:val="24"/>
          <w:szCs w:val="24"/>
        </w:rPr>
        <w:t>ів</w:t>
      </w:r>
      <w:r w:rsidRPr="001D12D7">
        <w:rPr>
          <w:sz w:val="24"/>
          <w:szCs w:val="24"/>
        </w:rPr>
        <w:t xml:space="preserve"> управління як</w:t>
      </w:r>
      <w:r w:rsidR="00843C1C" w:rsidRPr="001D12D7">
        <w:rPr>
          <w:sz w:val="24"/>
          <w:szCs w:val="24"/>
        </w:rPr>
        <w:t>і</w:t>
      </w:r>
      <w:r w:rsidRPr="001D12D7">
        <w:rPr>
          <w:sz w:val="24"/>
          <w:szCs w:val="24"/>
        </w:rPr>
        <w:t>ст</w:t>
      </w:r>
      <w:r w:rsidR="00843C1C" w:rsidRPr="001D12D7">
        <w:rPr>
          <w:sz w:val="24"/>
          <w:szCs w:val="24"/>
        </w:rPr>
        <w:t>ю</w:t>
      </w:r>
      <w:r w:rsidRPr="001D12D7">
        <w:rPr>
          <w:sz w:val="24"/>
          <w:szCs w:val="24"/>
        </w:rPr>
        <w:t xml:space="preserve"> та відповідно впровадила комплексну систему управління якості, включаючи документовану політику та процедури щодо дотримання етичних вимог, професійних стандартів і застосовних вимог чинного законодавства</w:t>
      </w:r>
      <w:r w:rsidR="00144E8C" w:rsidRPr="001D12D7">
        <w:rPr>
          <w:sz w:val="24"/>
          <w:szCs w:val="24"/>
        </w:rPr>
        <w:t xml:space="preserve">. </w:t>
      </w:r>
    </w:p>
    <w:p w14:paraId="2CF112AC" w14:textId="77777777" w:rsidR="00144E8C" w:rsidRPr="001D12D7" w:rsidRDefault="00144E8C" w:rsidP="00144E8C">
      <w:pPr>
        <w:ind w:left="-567" w:right="-61" w:firstLine="567"/>
        <w:jc w:val="both"/>
        <w:rPr>
          <w:b/>
          <w:i/>
          <w:sz w:val="24"/>
          <w:szCs w:val="24"/>
        </w:rPr>
      </w:pPr>
      <w:r w:rsidRPr="001D12D7">
        <w:rPr>
          <w:b/>
          <w:i/>
          <w:sz w:val="24"/>
          <w:szCs w:val="24"/>
        </w:rPr>
        <w:t>Дотримання вимог незалежності та інших етичних вимог</w:t>
      </w:r>
    </w:p>
    <w:p w14:paraId="37661AD0" w14:textId="77777777" w:rsidR="00144E8C" w:rsidRPr="001D12D7" w:rsidRDefault="00144E8C" w:rsidP="00144E8C">
      <w:pPr>
        <w:spacing w:after="240"/>
        <w:ind w:right="-61"/>
        <w:jc w:val="both"/>
        <w:rPr>
          <w:sz w:val="24"/>
          <w:szCs w:val="24"/>
        </w:rPr>
      </w:pPr>
      <w:r w:rsidRPr="001D12D7">
        <w:rPr>
          <w:sz w:val="24"/>
          <w:szCs w:val="24"/>
        </w:rPr>
        <w:t>Ми дотримались вимог незалежності та інших етичних вимог, викладених у Кодексі етики професійних бухгалтерів, затвердженому Радою з Міжнародних стандартів етики для бухгалтерів, який ґрунтується на фундаментальних принципах чесності, об’єктивності, професійної компетентності та належної ретельності, конфіденційності та професійної поведінки.</w:t>
      </w:r>
    </w:p>
    <w:p w14:paraId="49461C86" w14:textId="77777777" w:rsidR="00B61DB7" w:rsidRPr="001D12D7" w:rsidRDefault="00B61DB7" w:rsidP="00B61DB7">
      <w:pPr>
        <w:ind w:left="720" w:hanging="720"/>
        <w:jc w:val="center"/>
        <w:rPr>
          <w:b/>
          <w:sz w:val="24"/>
          <w:szCs w:val="24"/>
          <w:lang w:eastAsia="ru-RU"/>
        </w:rPr>
      </w:pPr>
      <w:r w:rsidRPr="001D12D7">
        <w:rPr>
          <w:b/>
          <w:sz w:val="24"/>
          <w:szCs w:val="24"/>
          <w:lang w:eastAsia="ru-RU"/>
        </w:rPr>
        <w:t>Огляд виконаної роботи</w:t>
      </w:r>
    </w:p>
    <w:p w14:paraId="073A5C78" w14:textId="77777777" w:rsidR="00B61DB7" w:rsidRPr="001D12D7" w:rsidRDefault="00B61DB7" w:rsidP="00B61DB7">
      <w:pPr>
        <w:jc w:val="center"/>
        <w:rPr>
          <w:i/>
          <w:iCs/>
          <w:sz w:val="24"/>
          <w:szCs w:val="24"/>
          <w:u w:val="single"/>
          <w:lang w:eastAsia="ru-RU"/>
        </w:rPr>
      </w:pPr>
      <w:r w:rsidRPr="001D12D7">
        <w:rPr>
          <w:i/>
          <w:iCs/>
          <w:sz w:val="24"/>
          <w:szCs w:val="24"/>
          <w:u w:val="single"/>
          <w:lang w:eastAsia="ru-RU"/>
        </w:rPr>
        <w:t>Відповідність річних звітних даних Товариства вимогам Правил № 123</w:t>
      </w:r>
    </w:p>
    <w:p w14:paraId="64FA0F27" w14:textId="77777777" w:rsidR="00B61DB7" w:rsidRPr="001D12D7" w:rsidRDefault="00B61DB7" w:rsidP="00B61DB7">
      <w:pPr>
        <w:ind w:firstLine="851"/>
        <w:jc w:val="both"/>
        <w:rPr>
          <w:sz w:val="24"/>
          <w:szCs w:val="24"/>
          <w:lang w:eastAsia="ru-RU"/>
        </w:rPr>
      </w:pPr>
      <w:r w:rsidRPr="001D12D7">
        <w:rPr>
          <w:sz w:val="24"/>
          <w:szCs w:val="24"/>
          <w:lang w:eastAsia="ru-RU"/>
        </w:rPr>
        <w:t xml:space="preserve">Завдання передбачало виконання процедур для отримання достатніх та прийнятних аудиторських доказів щодо того, чи складені звітні дані на підставі даних бухгалтерського обліку, управлінського, персоніфікованого обліку, даних обліково - </w:t>
      </w:r>
      <w:proofErr w:type="spellStart"/>
      <w:r w:rsidRPr="001D12D7">
        <w:rPr>
          <w:sz w:val="24"/>
          <w:szCs w:val="24"/>
          <w:lang w:eastAsia="ru-RU"/>
        </w:rPr>
        <w:t>реєструючих</w:t>
      </w:r>
      <w:proofErr w:type="spellEnd"/>
      <w:r w:rsidRPr="001D12D7">
        <w:rPr>
          <w:sz w:val="24"/>
          <w:szCs w:val="24"/>
          <w:lang w:eastAsia="ru-RU"/>
        </w:rPr>
        <w:t xml:space="preserve"> систем та даних про здійснені операції. Вибір процедур залежав від судження аудитора, які передбачали: отримання розуміння предмету перевірки та інших обставин завдання, у тому числі внутрішнього контролю; </w:t>
      </w:r>
      <w:bookmarkStart w:id="3" w:name="_Hlk159755933"/>
      <w:r w:rsidRPr="001D12D7">
        <w:rPr>
          <w:sz w:val="24"/>
          <w:szCs w:val="24"/>
          <w:lang w:eastAsia="ru-RU"/>
        </w:rPr>
        <w:t xml:space="preserve">оцінку ризиків можливого суттєвого викривлення інформації </w:t>
      </w:r>
      <w:bookmarkEnd w:id="3"/>
      <w:r w:rsidRPr="001D12D7">
        <w:rPr>
          <w:sz w:val="24"/>
          <w:szCs w:val="24"/>
          <w:lang w:eastAsia="ru-RU"/>
        </w:rPr>
        <w:t xml:space="preserve">про предмет перевірки; дії у відповідь на оцінені ризики, в тому числі розробку відповідних аудиторських процедур; виконання подальших процедур, які </w:t>
      </w:r>
      <w:r w:rsidRPr="001D12D7">
        <w:rPr>
          <w:sz w:val="24"/>
          <w:szCs w:val="24"/>
          <w:lang w:eastAsia="ru-RU"/>
        </w:rPr>
        <w:lastRenderedPageBreak/>
        <w:t>передбачали перевірку, перерахунок, підтвердження, аналітичні процедури та запити; оцінку достатності та відповідності отриманих доказів.</w:t>
      </w:r>
    </w:p>
    <w:p w14:paraId="682447C6" w14:textId="77777777" w:rsidR="00B61DB7" w:rsidRPr="001D12D7" w:rsidRDefault="00B61DB7" w:rsidP="00B61DB7">
      <w:pPr>
        <w:ind w:firstLine="851"/>
        <w:jc w:val="both"/>
        <w:rPr>
          <w:sz w:val="24"/>
          <w:szCs w:val="24"/>
          <w:lang w:eastAsia="ru-RU"/>
        </w:rPr>
      </w:pPr>
    </w:p>
    <w:p w14:paraId="52E25364" w14:textId="77777777" w:rsidR="00B61DB7" w:rsidRPr="001D12D7" w:rsidRDefault="00B61DB7" w:rsidP="00B61DB7">
      <w:pPr>
        <w:jc w:val="center"/>
        <w:rPr>
          <w:i/>
          <w:iCs/>
          <w:sz w:val="24"/>
          <w:szCs w:val="24"/>
          <w:u w:val="single"/>
          <w:lang w:eastAsia="ru-RU"/>
        </w:rPr>
      </w:pPr>
      <w:r w:rsidRPr="001D12D7">
        <w:rPr>
          <w:i/>
          <w:iCs/>
          <w:sz w:val="24"/>
          <w:szCs w:val="24"/>
          <w:u w:val="single"/>
          <w:lang w:eastAsia="ru-RU"/>
        </w:rPr>
        <w:t xml:space="preserve">Оцінка окремих статей активів Товариства відповідно до вимог Міжнародних стандартів фінансової звітності, з урахування </w:t>
      </w:r>
      <w:bookmarkStart w:id="4" w:name="_Hlk159762160"/>
      <w:r w:rsidRPr="001D12D7">
        <w:rPr>
          <w:i/>
          <w:iCs/>
          <w:sz w:val="24"/>
          <w:szCs w:val="24"/>
          <w:u w:val="single"/>
          <w:lang w:eastAsia="ru-RU"/>
        </w:rPr>
        <w:t>вимог Положення № 199</w:t>
      </w:r>
      <w:bookmarkEnd w:id="4"/>
    </w:p>
    <w:p w14:paraId="4FA602B6" w14:textId="22376054" w:rsidR="00B61DB7" w:rsidRPr="001D12D7" w:rsidRDefault="00B61DB7" w:rsidP="00B61DB7">
      <w:pPr>
        <w:ind w:firstLine="851"/>
        <w:jc w:val="both"/>
        <w:rPr>
          <w:sz w:val="24"/>
          <w:szCs w:val="24"/>
          <w:lang w:eastAsia="ru-RU"/>
        </w:rPr>
      </w:pPr>
      <w:r w:rsidRPr="001D12D7">
        <w:rPr>
          <w:sz w:val="24"/>
          <w:szCs w:val="24"/>
          <w:lang w:eastAsia="ru-RU"/>
        </w:rPr>
        <w:t xml:space="preserve">Завдання передбачало виконання процедур для отримання достатніх та прийнятних аудиторських доказів щодо того, чи проведена належним чином оцінка окремих статей активів, визначених Положенням № 199, які відображені у фінансової звітності Товариства за </w:t>
      </w:r>
      <w:r w:rsidR="00BF08E6" w:rsidRPr="001D12D7">
        <w:rPr>
          <w:sz w:val="24"/>
          <w:szCs w:val="24"/>
          <w:lang w:eastAsia="ru-RU"/>
        </w:rPr>
        <w:t>2024</w:t>
      </w:r>
      <w:r w:rsidRPr="001D12D7">
        <w:rPr>
          <w:sz w:val="24"/>
          <w:szCs w:val="24"/>
          <w:lang w:eastAsia="ru-RU"/>
        </w:rPr>
        <w:t xml:space="preserve"> рік, у відповідності до Міжнародних стандартах фінансової звітності.</w:t>
      </w:r>
    </w:p>
    <w:p w14:paraId="2EC2E2B9" w14:textId="14BAD9A1" w:rsidR="00B61DB7" w:rsidRPr="001D12D7" w:rsidRDefault="00B61DB7" w:rsidP="00B61DB7">
      <w:pPr>
        <w:ind w:firstLine="851"/>
        <w:jc w:val="both"/>
        <w:rPr>
          <w:sz w:val="24"/>
          <w:szCs w:val="24"/>
          <w:lang w:eastAsia="ru-RU"/>
        </w:rPr>
      </w:pPr>
      <w:r w:rsidRPr="001D12D7">
        <w:rPr>
          <w:sz w:val="24"/>
          <w:szCs w:val="24"/>
          <w:lang w:eastAsia="ru-RU"/>
        </w:rPr>
        <w:t xml:space="preserve">Вибір процедур залежав насамперед від переліку статей активів, які відображені у фінансовій звітності Товариства за </w:t>
      </w:r>
      <w:r w:rsidR="00BF08E6" w:rsidRPr="001D12D7">
        <w:rPr>
          <w:sz w:val="24"/>
          <w:szCs w:val="24"/>
          <w:lang w:eastAsia="ru-RU"/>
        </w:rPr>
        <w:t>2024</w:t>
      </w:r>
      <w:r w:rsidRPr="001D12D7">
        <w:rPr>
          <w:sz w:val="24"/>
          <w:szCs w:val="24"/>
          <w:lang w:eastAsia="ru-RU"/>
        </w:rPr>
        <w:t xml:space="preserve"> рік та за якими проведено підтвердження їх оцінки. </w:t>
      </w:r>
    </w:p>
    <w:p w14:paraId="0580AE8C" w14:textId="7F0FD27D" w:rsidR="00B61DB7" w:rsidRPr="001D12D7" w:rsidRDefault="00B61DB7" w:rsidP="00B61DB7">
      <w:pPr>
        <w:ind w:firstLine="851"/>
        <w:jc w:val="both"/>
        <w:rPr>
          <w:sz w:val="24"/>
          <w:szCs w:val="24"/>
          <w:lang w:eastAsia="ru-RU"/>
        </w:rPr>
      </w:pPr>
      <w:r w:rsidRPr="001D12D7">
        <w:rPr>
          <w:sz w:val="24"/>
          <w:szCs w:val="24"/>
          <w:lang w:eastAsia="ru-RU"/>
        </w:rPr>
        <w:t>З урахуванням встановленого нами у відповідності до вимог Положення № 199 переліку статей активів, що підлягали підтвердженню їхньої оцінки, а саме: грошові кошти та їх еквіваленти; дебіторська заборгованість, нами були проведені наступні процедури:</w:t>
      </w:r>
    </w:p>
    <w:p w14:paraId="34B4F472" w14:textId="77777777" w:rsidR="00B61DB7" w:rsidRPr="001D12D7" w:rsidRDefault="00B61DB7" w:rsidP="00B61DB7">
      <w:pPr>
        <w:pStyle w:val="a7"/>
        <w:numPr>
          <w:ilvl w:val="0"/>
          <w:numId w:val="13"/>
        </w:numPr>
        <w:spacing w:after="0" w:line="240" w:lineRule="auto"/>
        <w:ind w:left="0" w:firstLine="851"/>
        <w:jc w:val="both"/>
        <w:rPr>
          <w:rFonts w:ascii="Times New Roman" w:eastAsia="Times New Roman" w:hAnsi="Times New Roman"/>
          <w:sz w:val="24"/>
          <w:szCs w:val="24"/>
          <w:lang w:eastAsia="ru-RU"/>
        </w:rPr>
      </w:pPr>
      <w:r w:rsidRPr="001D12D7">
        <w:rPr>
          <w:rFonts w:ascii="Times New Roman" w:eastAsia="Times New Roman" w:hAnsi="Times New Roman"/>
          <w:sz w:val="24"/>
          <w:szCs w:val="24"/>
          <w:lang w:eastAsia="ru-RU"/>
        </w:rPr>
        <w:t>для статті грошові кошти та еквіваленти – проведено оцінку ризиків можливого суттєвого викривлення внаслідок шахрайства чи помилки; здійснено аналіз дотримання вимог законодавчих та нормативних актів; досліджено наявність та ефективність системи внутрішнього контролю; розроблено й виконано процедури по суті (включаючи процедуру зовнішнього підтвердження); розглянуті та проаналізовані - угоди, первинні документи обліку та документи щодо проведеної річної інвентаризації; виконані подальші процедури, які передбачали перевірку, перерахунок, підтвердження, аналітичні процедури та запити; здійснено оцінку достатності та відповідності отриманих доказів.</w:t>
      </w:r>
    </w:p>
    <w:p w14:paraId="69D79539" w14:textId="1D2B73A7" w:rsidR="007829FB" w:rsidRPr="001D12D7" w:rsidRDefault="007829FB" w:rsidP="007829FB">
      <w:pPr>
        <w:ind w:firstLine="851"/>
        <w:jc w:val="both"/>
        <w:rPr>
          <w:sz w:val="24"/>
          <w:szCs w:val="24"/>
          <w:lang w:eastAsia="ru-RU"/>
        </w:rPr>
      </w:pPr>
      <w:r w:rsidRPr="001D12D7">
        <w:rPr>
          <w:sz w:val="24"/>
          <w:szCs w:val="24"/>
          <w:lang w:eastAsia="ru-RU"/>
        </w:rPr>
        <w:t xml:space="preserve">Товариство звітує облікове грошові  кошти </w:t>
      </w:r>
      <w:r w:rsidR="001F267A" w:rsidRPr="001D12D7">
        <w:rPr>
          <w:sz w:val="24"/>
          <w:szCs w:val="24"/>
          <w:lang w:eastAsia="ru-RU"/>
        </w:rPr>
        <w:t xml:space="preserve">у касі Товариства та </w:t>
      </w:r>
      <w:r w:rsidRPr="001D12D7">
        <w:rPr>
          <w:sz w:val="24"/>
          <w:szCs w:val="24"/>
          <w:lang w:eastAsia="ru-RU"/>
        </w:rPr>
        <w:t xml:space="preserve">на рахунках у банківських установах у загальній сумі </w:t>
      </w:r>
      <w:r w:rsidR="001F267A" w:rsidRPr="001D12D7">
        <w:rPr>
          <w:sz w:val="24"/>
          <w:szCs w:val="24"/>
          <w:lang w:eastAsia="ru-RU"/>
        </w:rPr>
        <w:t>354</w:t>
      </w:r>
      <w:r w:rsidR="006074BF" w:rsidRPr="001D12D7">
        <w:rPr>
          <w:sz w:val="24"/>
          <w:szCs w:val="24"/>
          <w:lang w:eastAsia="ru-RU"/>
        </w:rPr>
        <w:t xml:space="preserve"> </w:t>
      </w:r>
      <w:r w:rsidR="001F267A" w:rsidRPr="001D12D7">
        <w:rPr>
          <w:sz w:val="24"/>
          <w:szCs w:val="24"/>
          <w:lang w:eastAsia="ru-RU"/>
        </w:rPr>
        <w:t xml:space="preserve">037 </w:t>
      </w:r>
      <w:r w:rsidRPr="001D12D7">
        <w:rPr>
          <w:sz w:val="24"/>
          <w:szCs w:val="24"/>
          <w:lang w:eastAsia="ru-RU"/>
        </w:rPr>
        <w:t xml:space="preserve"> грн., а також звітує про грошові потоки від операційної діяльності, застосовуючи: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406"/>
        <w:gridCol w:w="1417"/>
        <w:gridCol w:w="1418"/>
        <w:gridCol w:w="1559"/>
      </w:tblGrid>
      <w:tr w:rsidR="001F267A" w:rsidRPr="001D12D7" w14:paraId="5653B076" w14:textId="77777777" w:rsidTr="006074BF">
        <w:trPr>
          <w:trHeight w:val="2012"/>
        </w:trPr>
        <w:tc>
          <w:tcPr>
            <w:tcW w:w="556" w:type="dxa"/>
            <w:tcBorders>
              <w:top w:val="single" w:sz="4" w:space="0" w:color="auto"/>
              <w:left w:val="single" w:sz="4" w:space="0" w:color="auto"/>
              <w:bottom w:val="single" w:sz="4" w:space="0" w:color="auto"/>
              <w:right w:val="single" w:sz="4" w:space="0" w:color="auto"/>
            </w:tcBorders>
            <w:shd w:val="clear" w:color="auto" w:fill="FFFFFF"/>
            <w:hideMark/>
          </w:tcPr>
          <w:p w14:paraId="4E9C4CF7" w14:textId="77777777" w:rsidR="001F267A" w:rsidRPr="001D12D7" w:rsidRDefault="001F267A">
            <w:pPr>
              <w:spacing w:after="160" w:line="360" w:lineRule="atLeast"/>
              <w:jc w:val="both"/>
              <w:rPr>
                <w:rFonts w:eastAsia="Calibri"/>
                <w:sz w:val="22"/>
                <w:szCs w:val="22"/>
                <w:lang w:val="ru-RU" w:eastAsia="en-US"/>
              </w:rPr>
            </w:pPr>
            <w:r w:rsidRPr="001D12D7">
              <w:rPr>
                <w:rFonts w:eastAsia="Calibri"/>
                <w:sz w:val="22"/>
                <w:szCs w:val="22"/>
                <w:lang w:eastAsia="en-US"/>
              </w:rPr>
              <w:t>№</w:t>
            </w:r>
          </w:p>
        </w:tc>
        <w:tc>
          <w:tcPr>
            <w:tcW w:w="4406" w:type="dxa"/>
            <w:tcBorders>
              <w:top w:val="single" w:sz="4" w:space="0" w:color="auto"/>
              <w:left w:val="single" w:sz="4" w:space="0" w:color="auto"/>
              <w:bottom w:val="single" w:sz="4" w:space="0" w:color="auto"/>
              <w:right w:val="single" w:sz="4" w:space="0" w:color="auto"/>
            </w:tcBorders>
            <w:shd w:val="clear" w:color="auto" w:fill="FFFFFF"/>
            <w:hideMark/>
          </w:tcPr>
          <w:p w14:paraId="5D417419" w14:textId="77777777" w:rsidR="001F267A" w:rsidRPr="001D12D7" w:rsidRDefault="001F267A">
            <w:pPr>
              <w:spacing w:after="160" w:line="360" w:lineRule="atLeast"/>
              <w:jc w:val="both"/>
              <w:rPr>
                <w:rFonts w:eastAsia="Calibri"/>
                <w:sz w:val="22"/>
                <w:szCs w:val="22"/>
                <w:lang w:eastAsia="en-US"/>
              </w:rPr>
            </w:pPr>
            <w:r w:rsidRPr="001D12D7">
              <w:rPr>
                <w:rFonts w:eastAsia="Calibri"/>
                <w:sz w:val="22"/>
                <w:szCs w:val="22"/>
                <w:lang w:eastAsia="en-US"/>
              </w:rPr>
              <w:t>Назва та код Банку</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330FD127" w14:textId="77777777" w:rsidR="001F267A" w:rsidRPr="001D12D7" w:rsidRDefault="001F267A">
            <w:pPr>
              <w:spacing w:after="160" w:line="360" w:lineRule="atLeast"/>
              <w:jc w:val="both"/>
              <w:rPr>
                <w:rFonts w:eastAsia="Calibri"/>
                <w:sz w:val="22"/>
                <w:szCs w:val="22"/>
                <w:lang w:eastAsia="en-US"/>
              </w:rPr>
            </w:pPr>
            <w:r w:rsidRPr="001D12D7">
              <w:rPr>
                <w:rFonts w:eastAsia="Calibri"/>
                <w:sz w:val="22"/>
                <w:szCs w:val="22"/>
                <w:lang w:eastAsia="en-US"/>
              </w:rPr>
              <w:t>Тип рахунку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0D7987E" w14:textId="67C21EFB" w:rsidR="001F267A" w:rsidRPr="001D12D7" w:rsidRDefault="001F267A">
            <w:pPr>
              <w:spacing w:after="160" w:line="360" w:lineRule="atLeast"/>
              <w:jc w:val="both"/>
              <w:rPr>
                <w:rFonts w:eastAsia="Calibri"/>
                <w:lang w:eastAsia="en-US"/>
              </w:rPr>
            </w:pPr>
            <w:r w:rsidRPr="001D12D7">
              <w:rPr>
                <w:rFonts w:eastAsia="Calibri"/>
                <w:lang w:eastAsia="en-US"/>
              </w:rPr>
              <w:t xml:space="preserve">Сума залишку грошових коштів, на 31.12.2024 року </w:t>
            </w:r>
            <w:r w:rsidR="006074BF" w:rsidRPr="001D12D7">
              <w:rPr>
                <w:rFonts w:eastAsia="Calibri"/>
                <w:lang w:eastAsia="en-US"/>
              </w:rPr>
              <w:t>,</w:t>
            </w:r>
            <w:r w:rsidRPr="001D12D7">
              <w:rPr>
                <w:rFonts w:eastAsia="Calibri"/>
                <w:lang w:eastAsia="en-US"/>
              </w:rPr>
              <w:t xml:space="preserve"> грн</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6A01CCA6" w14:textId="6662D2A6" w:rsidR="001F267A" w:rsidRPr="001D12D7" w:rsidRDefault="001F267A">
            <w:pPr>
              <w:spacing w:after="160" w:line="360" w:lineRule="atLeast"/>
              <w:jc w:val="both"/>
              <w:rPr>
                <w:rFonts w:eastAsia="Calibri"/>
                <w:sz w:val="22"/>
                <w:szCs w:val="22"/>
                <w:lang w:eastAsia="en-US"/>
              </w:rPr>
            </w:pPr>
            <w:proofErr w:type="spellStart"/>
            <w:r w:rsidRPr="001D12D7">
              <w:rPr>
                <w:rFonts w:eastAsia="Calibri"/>
                <w:sz w:val="22"/>
                <w:szCs w:val="22"/>
                <w:lang w:eastAsia="en-US"/>
              </w:rPr>
              <w:t>Справедоива</w:t>
            </w:r>
            <w:proofErr w:type="spellEnd"/>
            <w:r w:rsidRPr="001D12D7">
              <w:rPr>
                <w:rFonts w:eastAsia="Calibri"/>
                <w:sz w:val="22"/>
                <w:szCs w:val="22"/>
                <w:lang w:eastAsia="en-US"/>
              </w:rPr>
              <w:t xml:space="preserve"> вартість грошових коштів ,грн. </w:t>
            </w:r>
          </w:p>
        </w:tc>
      </w:tr>
      <w:tr w:rsidR="001F267A" w:rsidRPr="001D12D7" w14:paraId="421D825C" w14:textId="77777777" w:rsidTr="001F267A">
        <w:tc>
          <w:tcPr>
            <w:tcW w:w="556" w:type="dxa"/>
            <w:tcBorders>
              <w:top w:val="single" w:sz="4" w:space="0" w:color="auto"/>
              <w:left w:val="single" w:sz="4" w:space="0" w:color="auto"/>
              <w:bottom w:val="single" w:sz="4" w:space="0" w:color="auto"/>
              <w:right w:val="single" w:sz="4" w:space="0" w:color="auto"/>
            </w:tcBorders>
            <w:shd w:val="clear" w:color="auto" w:fill="FFFFFF"/>
            <w:hideMark/>
          </w:tcPr>
          <w:p w14:paraId="63A58870" w14:textId="77777777" w:rsidR="001F267A" w:rsidRPr="001D12D7" w:rsidRDefault="001F267A">
            <w:pPr>
              <w:spacing w:after="160" w:line="360" w:lineRule="atLeast"/>
              <w:jc w:val="both"/>
              <w:rPr>
                <w:rFonts w:eastAsia="Calibri"/>
                <w:sz w:val="22"/>
                <w:szCs w:val="22"/>
                <w:lang w:eastAsia="en-US"/>
              </w:rPr>
            </w:pPr>
            <w:r w:rsidRPr="001D12D7">
              <w:rPr>
                <w:rFonts w:eastAsia="Calibri"/>
                <w:sz w:val="22"/>
                <w:szCs w:val="22"/>
                <w:lang w:eastAsia="en-US"/>
              </w:rPr>
              <w:t>1</w:t>
            </w:r>
          </w:p>
        </w:tc>
        <w:tc>
          <w:tcPr>
            <w:tcW w:w="4406" w:type="dxa"/>
            <w:tcBorders>
              <w:top w:val="single" w:sz="4" w:space="0" w:color="auto"/>
              <w:left w:val="single" w:sz="4" w:space="0" w:color="auto"/>
              <w:bottom w:val="single" w:sz="4" w:space="0" w:color="auto"/>
              <w:right w:val="single" w:sz="4" w:space="0" w:color="auto"/>
            </w:tcBorders>
            <w:shd w:val="clear" w:color="auto" w:fill="FFFFFF"/>
            <w:hideMark/>
          </w:tcPr>
          <w:p w14:paraId="60702E44" w14:textId="77777777" w:rsidR="001F267A" w:rsidRPr="001D12D7" w:rsidRDefault="001F267A">
            <w:pPr>
              <w:spacing w:after="160" w:line="360" w:lineRule="atLeast"/>
              <w:jc w:val="both"/>
              <w:rPr>
                <w:rFonts w:eastAsia="Calibri"/>
                <w:sz w:val="22"/>
                <w:szCs w:val="22"/>
                <w:lang w:eastAsia="en-US"/>
              </w:rPr>
            </w:pPr>
            <w:r w:rsidRPr="001D12D7">
              <w:rPr>
                <w:rFonts w:eastAsia="Calibri"/>
                <w:sz w:val="22"/>
                <w:szCs w:val="22"/>
                <w:lang w:eastAsia="en-US"/>
              </w:rPr>
              <w:t>UA583510050000026502500145100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AABD107" w14:textId="77777777" w:rsidR="001F267A" w:rsidRPr="001D12D7" w:rsidRDefault="001F267A">
            <w:pPr>
              <w:spacing w:after="160" w:line="360" w:lineRule="atLeast"/>
              <w:jc w:val="both"/>
              <w:rPr>
                <w:rFonts w:eastAsia="Calibri"/>
                <w:sz w:val="22"/>
                <w:szCs w:val="22"/>
                <w:lang w:eastAsia="en-US"/>
              </w:rPr>
            </w:pPr>
            <w:r w:rsidRPr="001D12D7">
              <w:rPr>
                <w:rFonts w:eastAsia="Calibri"/>
                <w:sz w:val="22"/>
                <w:szCs w:val="22"/>
                <w:lang w:eastAsia="en-US"/>
              </w:rPr>
              <w:t>поточний</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C7EC9B7" w14:textId="77777777" w:rsidR="001F267A" w:rsidRPr="001D12D7" w:rsidRDefault="001F267A">
            <w:pPr>
              <w:spacing w:after="160" w:line="360" w:lineRule="atLeast"/>
              <w:jc w:val="both"/>
              <w:rPr>
                <w:rFonts w:eastAsia="Calibri"/>
                <w:sz w:val="22"/>
                <w:szCs w:val="22"/>
                <w:lang w:eastAsia="en-US"/>
              </w:rPr>
            </w:pPr>
            <w:r w:rsidRPr="001D12D7">
              <w:rPr>
                <w:rFonts w:eastAsia="Calibri"/>
                <w:sz w:val="22"/>
                <w:szCs w:val="22"/>
                <w:lang w:eastAsia="en-US"/>
              </w:rPr>
              <w:t>191154.85</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670D58F4" w14:textId="77777777" w:rsidR="001F267A" w:rsidRPr="001D12D7" w:rsidRDefault="001F267A">
            <w:pPr>
              <w:spacing w:after="160" w:line="360" w:lineRule="atLeast"/>
              <w:jc w:val="both"/>
              <w:rPr>
                <w:rFonts w:eastAsia="Calibri"/>
                <w:sz w:val="22"/>
                <w:szCs w:val="22"/>
                <w:lang w:eastAsia="en-US"/>
              </w:rPr>
            </w:pPr>
            <w:r w:rsidRPr="001D12D7">
              <w:rPr>
                <w:rFonts w:eastAsia="Calibri"/>
                <w:sz w:val="22"/>
                <w:szCs w:val="22"/>
                <w:lang w:eastAsia="en-US"/>
              </w:rPr>
              <w:t>191154,85</w:t>
            </w:r>
          </w:p>
        </w:tc>
      </w:tr>
      <w:tr w:rsidR="001F267A" w:rsidRPr="001D12D7" w14:paraId="18E0415E" w14:textId="77777777" w:rsidTr="001F267A">
        <w:tc>
          <w:tcPr>
            <w:tcW w:w="556" w:type="dxa"/>
            <w:tcBorders>
              <w:top w:val="single" w:sz="4" w:space="0" w:color="auto"/>
              <w:left w:val="single" w:sz="4" w:space="0" w:color="auto"/>
              <w:bottom w:val="single" w:sz="4" w:space="0" w:color="auto"/>
              <w:right w:val="single" w:sz="4" w:space="0" w:color="auto"/>
            </w:tcBorders>
            <w:shd w:val="clear" w:color="auto" w:fill="FFFFFF"/>
            <w:hideMark/>
          </w:tcPr>
          <w:p w14:paraId="011EC91C" w14:textId="77777777" w:rsidR="001F267A" w:rsidRPr="001D12D7" w:rsidRDefault="001F267A">
            <w:pPr>
              <w:spacing w:after="160" w:line="360" w:lineRule="atLeast"/>
              <w:jc w:val="both"/>
              <w:rPr>
                <w:rFonts w:eastAsia="Calibri"/>
                <w:sz w:val="22"/>
                <w:szCs w:val="22"/>
                <w:lang w:eastAsia="en-US"/>
              </w:rPr>
            </w:pPr>
            <w:r w:rsidRPr="001D12D7">
              <w:rPr>
                <w:rFonts w:eastAsia="Calibri"/>
                <w:sz w:val="22"/>
                <w:szCs w:val="22"/>
                <w:lang w:eastAsia="en-US"/>
              </w:rPr>
              <w:t>2</w:t>
            </w:r>
          </w:p>
        </w:tc>
        <w:tc>
          <w:tcPr>
            <w:tcW w:w="4406" w:type="dxa"/>
            <w:tcBorders>
              <w:top w:val="single" w:sz="4" w:space="0" w:color="auto"/>
              <w:left w:val="single" w:sz="4" w:space="0" w:color="auto"/>
              <w:bottom w:val="single" w:sz="4" w:space="0" w:color="auto"/>
              <w:right w:val="single" w:sz="4" w:space="0" w:color="auto"/>
            </w:tcBorders>
            <w:shd w:val="clear" w:color="auto" w:fill="FFFFFF"/>
            <w:hideMark/>
          </w:tcPr>
          <w:p w14:paraId="1515E7CE" w14:textId="77777777" w:rsidR="001F267A" w:rsidRPr="001D12D7" w:rsidRDefault="001F267A">
            <w:pPr>
              <w:spacing w:after="160" w:line="360" w:lineRule="atLeast"/>
              <w:jc w:val="both"/>
              <w:rPr>
                <w:rFonts w:eastAsia="Calibri"/>
                <w:sz w:val="22"/>
                <w:szCs w:val="22"/>
                <w:lang w:eastAsia="en-US"/>
              </w:rPr>
            </w:pPr>
            <w:r w:rsidRPr="001D12D7">
              <w:rPr>
                <w:rFonts w:eastAsia="Calibri"/>
                <w:sz w:val="22"/>
                <w:szCs w:val="22"/>
                <w:lang w:eastAsia="en-US"/>
              </w:rPr>
              <w:t>UA743510050000026007878892613</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046A78E5" w14:textId="77777777" w:rsidR="001F267A" w:rsidRPr="001D12D7" w:rsidRDefault="001F267A">
            <w:pPr>
              <w:spacing w:after="160" w:line="360" w:lineRule="atLeast"/>
              <w:jc w:val="both"/>
              <w:rPr>
                <w:rFonts w:eastAsia="Calibri"/>
                <w:sz w:val="22"/>
                <w:szCs w:val="22"/>
                <w:lang w:eastAsia="en-US"/>
              </w:rPr>
            </w:pPr>
            <w:r w:rsidRPr="001D12D7">
              <w:rPr>
                <w:rFonts w:eastAsia="Calibri"/>
                <w:sz w:val="22"/>
                <w:szCs w:val="22"/>
                <w:lang w:eastAsia="en-US"/>
              </w:rPr>
              <w:t>картковий</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3ACAADF" w14:textId="77777777" w:rsidR="001F267A" w:rsidRPr="001D12D7" w:rsidRDefault="001F267A">
            <w:pPr>
              <w:spacing w:after="160" w:line="360" w:lineRule="atLeast"/>
              <w:jc w:val="both"/>
              <w:rPr>
                <w:rFonts w:eastAsia="Calibri"/>
                <w:sz w:val="22"/>
                <w:szCs w:val="22"/>
                <w:lang w:eastAsia="en-US"/>
              </w:rPr>
            </w:pPr>
            <w:r w:rsidRPr="001D12D7">
              <w:rPr>
                <w:rFonts w:eastAsia="Calibri"/>
                <w:sz w:val="22"/>
                <w:szCs w:val="22"/>
                <w:lang w:eastAsia="en-US"/>
              </w:rPr>
              <w:t>260,88</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223D54A" w14:textId="77777777" w:rsidR="001F267A" w:rsidRPr="001D12D7" w:rsidRDefault="001F267A">
            <w:pPr>
              <w:spacing w:after="160" w:line="360" w:lineRule="atLeast"/>
              <w:jc w:val="both"/>
              <w:rPr>
                <w:rFonts w:eastAsia="Calibri"/>
                <w:sz w:val="22"/>
                <w:szCs w:val="22"/>
                <w:lang w:eastAsia="en-US"/>
              </w:rPr>
            </w:pPr>
            <w:r w:rsidRPr="001D12D7">
              <w:rPr>
                <w:rFonts w:eastAsia="Calibri"/>
                <w:sz w:val="22"/>
                <w:szCs w:val="22"/>
                <w:lang w:eastAsia="en-US"/>
              </w:rPr>
              <w:t>260,88</w:t>
            </w:r>
          </w:p>
        </w:tc>
      </w:tr>
      <w:tr w:rsidR="001F267A" w:rsidRPr="001D12D7" w14:paraId="01838C32" w14:textId="77777777" w:rsidTr="001F267A">
        <w:tc>
          <w:tcPr>
            <w:tcW w:w="556" w:type="dxa"/>
            <w:tcBorders>
              <w:top w:val="single" w:sz="4" w:space="0" w:color="auto"/>
              <w:left w:val="single" w:sz="4" w:space="0" w:color="auto"/>
              <w:bottom w:val="single" w:sz="4" w:space="0" w:color="auto"/>
              <w:right w:val="single" w:sz="4" w:space="0" w:color="auto"/>
            </w:tcBorders>
            <w:shd w:val="clear" w:color="auto" w:fill="FFFFFF"/>
            <w:hideMark/>
          </w:tcPr>
          <w:p w14:paraId="6E386FBA" w14:textId="77777777" w:rsidR="001F267A" w:rsidRPr="001D12D7" w:rsidRDefault="001F267A">
            <w:pPr>
              <w:spacing w:after="160" w:line="360" w:lineRule="atLeast"/>
              <w:jc w:val="both"/>
              <w:rPr>
                <w:rFonts w:eastAsia="Calibri"/>
                <w:sz w:val="22"/>
                <w:szCs w:val="22"/>
                <w:lang w:eastAsia="en-US"/>
              </w:rPr>
            </w:pPr>
            <w:r w:rsidRPr="001D12D7">
              <w:rPr>
                <w:rFonts w:eastAsia="Calibri"/>
                <w:sz w:val="22"/>
                <w:szCs w:val="22"/>
                <w:lang w:eastAsia="en-US"/>
              </w:rPr>
              <w:t>3</w:t>
            </w:r>
          </w:p>
        </w:tc>
        <w:tc>
          <w:tcPr>
            <w:tcW w:w="4406" w:type="dxa"/>
            <w:tcBorders>
              <w:top w:val="single" w:sz="4" w:space="0" w:color="auto"/>
              <w:left w:val="single" w:sz="4" w:space="0" w:color="auto"/>
              <w:bottom w:val="single" w:sz="4" w:space="0" w:color="auto"/>
              <w:right w:val="single" w:sz="4" w:space="0" w:color="auto"/>
            </w:tcBorders>
            <w:shd w:val="clear" w:color="auto" w:fill="FFFFFF"/>
            <w:hideMark/>
          </w:tcPr>
          <w:p w14:paraId="06231A16" w14:textId="77777777" w:rsidR="001F267A" w:rsidRPr="001D12D7" w:rsidRDefault="001F267A">
            <w:pPr>
              <w:spacing w:after="160" w:line="360" w:lineRule="atLeast"/>
              <w:jc w:val="both"/>
              <w:rPr>
                <w:rFonts w:eastAsia="Calibri"/>
                <w:sz w:val="22"/>
                <w:szCs w:val="22"/>
                <w:lang w:eastAsia="en-US"/>
              </w:rPr>
            </w:pPr>
            <w:r w:rsidRPr="001D12D7">
              <w:rPr>
                <w:rFonts w:eastAsia="Calibri"/>
                <w:sz w:val="22"/>
                <w:szCs w:val="22"/>
                <w:lang w:eastAsia="en-US"/>
              </w:rPr>
              <w:t>UA53305299000006503000100488</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0BAC8241" w14:textId="77777777" w:rsidR="001F267A" w:rsidRPr="001D12D7" w:rsidRDefault="001F267A">
            <w:pPr>
              <w:spacing w:after="160" w:line="360" w:lineRule="atLeast"/>
              <w:jc w:val="both"/>
              <w:rPr>
                <w:rFonts w:eastAsia="Calibri"/>
                <w:sz w:val="22"/>
                <w:szCs w:val="22"/>
                <w:lang w:eastAsia="en-US"/>
              </w:rPr>
            </w:pPr>
            <w:r w:rsidRPr="001D12D7">
              <w:rPr>
                <w:rFonts w:eastAsia="Calibri"/>
                <w:sz w:val="22"/>
                <w:szCs w:val="22"/>
                <w:lang w:eastAsia="en-US"/>
              </w:rPr>
              <w:t>поточний</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40DBD4B" w14:textId="77777777" w:rsidR="001F267A" w:rsidRPr="001D12D7" w:rsidRDefault="001F267A">
            <w:pPr>
              <w:spacing w:after="160" w:line="360" w:lineRule="atLeast"/>
              <w:jc w:val="both"/>
              <w:rPr>
                <w:rFonts w:eastAsia="Calibri"/>
                <w:sz w:val="22"/>
                <w:szCs w:val="22"/>
                <w:lang w:eastAsia="en-US"/>
              </w:rPr>
            </w:pPr>
            <w:r w:rsidRPr="001D12D7">
              <w:rPr>
                <w:rFonts w:eastAsia="Calibri"/>
                <w:sz w:val="22"/>
                <w:szCs w:val="22"/>
                <w:lang w:eastAsia="en-US"/>
              </w:rPr>
              <w:t>93338,19</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E23E39A" w14:textId="77777777" w:rsidR="001F267A" w:rsidRPr="001D12D7" w:rsidRDefault="001F267A">
            <w:pPr>
              <w:spacing w:after="160" w:line="360" w:lineRule="atLeast"/>
              <w:jc w:val="both"/>
              <w:rPr>
                <w:rFonts w:eastAsia="Calibri"/>
                <w:sz w:val="22"/>
                <w:szCs w:val="22"/>
                <w:lang w:eastAsia="en-US"/>
              </w:rPr>
            </w:pPr>
            <w:r w:rsidRPr="001D12D7">
              <w:rPr>
                <w:rFonts w:eastAsia="Calibri"/>
                <w:sz w:val="22"/>
                <w:szCs w:val="22"/>
                <w:lang w:eastAsia="en-US"/>
              </w:rPr>
              <w:t>93338,19</w:t>
            </w:r>
          </w:p>
        </w:tc>
      </w:tr>
      <w:tr w:rsidR="001F267A" w:rsidRPr="001D12D7" w14:paraId="3DDA41C9" w14:textId="77777777" w:rsidTr="001F267A">
        <w:tc>
          <w:tcPr>
            <w:tcW w:w="556" w:type="dxa"/>
            <w:tcBorders>
              <w:top w:val="single" w:sz="4" w:space="0" w:color="auto"/>
              <w:left w:val="single" w:sz="4" w:space="0" w:color="auto"/>
              <w:bottom w:val="single" w:sz="4" w:space="0" w:color="auto"/>
              <w:right w:val="single" w:sz="4" w:space="0" w:color="auto"/>
            </w:tcBorders>
            <w:shd w:val="clear" w:color="auto" w:fill="FFFFFF"/>
          </w:tcPr>
          <w:p w14:paraId="2EA61608" w14:textId="77777777" w:rsidR="001F267A" w:rsidRPr="001D12D7" w:rsidRDefault="001F267A">
            <w:pPr>
              <w:spacing w:after="160" w:line="360" w:lineRule="atLeast"/>
              <w:jc w:val="both"/>
              <w:rPr>
                <w:rFonts w:eastAsia="Calibri"/>
                <w:sz w:val="22"/>
                <w:szCs w:val="22"/>
                <w:lang w:eastAsia="en-US"/>
              </w:rPr>
            </w:pPr>
          </w:p>
        </w:tc>
        <w:tc>
          <w:tcPr>
            <w:tcW w:w="4406" w:type="dxa"/>
            <w:tcBorders>
              <w:top w:val="single" w:sz="4" w:space="0" w:color="auto"/>
              <w:left w:val="single" w:sz="4" w:space="0" w:color="auto"/>
              <w:bottom w:val="single" w:sz="4" w:space="0" w:color="auto"/>
              <w:right w:val="single" w:sz="4" w:space="0" w:color="auto"/>
            </w:tcBorders>
            <w:shd w:val="clear" w:color="auto" w:fill="FFFFFF"/>
          </w:tcPr>
          <w:p w14:paraId="34A80FC5" w14:textId="77777777" w:rsidR="001F267A" w:rsidRPr="001D12D7" w:rsidRDefault="001F267A">
            <w:pPr>
              <w:spacing w:after="160" w:line="360" w:lineRule="atLeast"/>
              <w:jc w:val="both"/>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2E71B5E6" w14:textId="77777777" w:rsidR="001F267A" w:rsidRPr="001D12D7" w:rsidRDefault="001F267A">
            <w:pPr>
              <w:spacing w:after="160" w:line="360" w:lineRule="atLeast"/>
              <w:jc w:val="both"/>
              <w:rPr>
                <w:rFonts w:eastAsia="Calibri"/>
                <w:sz w:val="22"/>
                <w:szCs w:val="22"/>
                <w:lang w:eastAsia="en-US"/>
              </w:rPr>
            </w:pPr>
            <w:r w:rsidRPr="001D12D7">
              <w:rPr>
                <w:rFonts w:eastAsia="Calibri"/>
                <w:sz w:val="22"/>
                <w:szCs w:val="22"/>
                <w:lang w:eastAsia="en-US"/>
              </w:rPr>
              <w:t>Разом</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B5BF2A9" w14:textId="77777777" w:rsidR="001F267A" w:rsidRPr="001D12D7" w:rsidRDefault="001F267A">
            <w:pPr>
              <w:spacing w:after="160" w:line="360" w:lineRule="atLeast"/>
              <w:jc w:val="both"/>
              <w:rPr>
                <w:rFonts w:eastAsia="Calibri"/>
                <w:sz w:val="22"/>
                <w:szCs w:val="22"/>
                <w:lang w:eastAsia="en-US"/>
              </w:rPr>
            </w:pPr>
            <w:r w:rsidRPr="001D12D7">
              <w:rPr>
                <w:rFonts w:eastAsia="Calibri"/>
                <w:sz w:val="22"/>
                <w:szCs w:val="22"/>
                <w:lang w:eastAsia="en-US"/>
              </w:rPr>
              <w:t>284753,92</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1792521" w14:textId="77777777" w:rsidR="001F267A" w:rsidRPr="001D12D7" w:rsidRDefault="001F267A">
            <w:pPr>
              <w:spacing w:after="160" w:line="360" w:lineRule="atLeast"/>
              <w:jc w:val="both"/>
              <w:rPr>
                <w:rFonts w:eastAsia="Calibri"/>
                <w:sz w:val="22"/>
                <w:szCs w:val="22"/>
                <w:lang w:eastAsia="en-US"/>
              </w:rPr>
            </w:pPr>
            <w:r w:rsidRPr="001D12D7">
              <w:rPr>
                <w:rFonts w:eastAsia="Calibri"/>
                <w:sz w:val="22"/>
                <w:szCs w:val="22"/>
                <w:lang w:eastAsia="en-US"/>
              </w:rPr>
              <w:t>284753,92</w:t>
            </w:r>
          </w:p>
        </w:tc>
      </w:tr>
    </w:tbl>
    <w:p w14:paraId="0E848CAB" w14:textId="77777777" w:rsidR="007829FB" w:rsidRPr="001D12D7" w:rsidRDefault="007829FB" w:rsidP="007829FB">
      <w:pPr>
        <w:ind w:firstLine="851"/>
        <w:jc w:val="both"/>
        <w:rPr>
          <w:sz w:val="24"/>
          <w:szCs w:val="24"/>
          <w:lang w:eastAsia="ru-RU"/>
        </w:rPr>
      </w:pPr>
      <w:r w:rsidRPr="001D12D7">
        <w:rPr>
          <w:sz w:val="24"/>
          <w:szCs w:val="24"/>
          <w:lang w:eastAsia="ru-RU"/>
        </w:rPr>
        <w:t>прямий метод, за яким розкривається інформація про основні класи валових надходжень грошових коштів чи валових виплат грошових коштів; або</w:t>
      </w:r>
    </w:p>
    <w:p w14:paraId="0E153140" w14:textId="77777777" w:rsidR="007829FB" w:rsidRPr="001D12D7" w:rsidRDefault="007829FB" w:rsidP="007829FB">
      <w:pPr>
        <w:ind w:firstLine="851"/>
        <w:jc w:val="both"/>
        <w:rPr>
          <w:sz w:val="24"/>
          <w:szCs w:val="24"/>
          <w:lang w:eastAsia="ru-RU"/>
        </w:rPr>
      </w:pPr>
      <w:r w:rsidRPr="001D12D7">
        <w:rPr>
          <w:sz w:val="24"/>
          <w:szCs w:val="24"/>
          <w:lang w:eastAsia="ru-RU"/>
        </w:rPr>
        <w:t>Прямий метод надає інформацію, яка може бути корисною для оцінки майбутніх грошових потоків і яку не можна отримати із застосуванням непрямого методу. Згідно з прямим методом, інформацію про основні класи валових надходжень грошових коштів і валових виплат грошових коштів можна отримати:</w:t>
      </w:r>
    </w:p>
    <w:p w14:paraId="5E0F0F68" w14:textId="77777777" w:rsidR="007829FB" w:rsidRPr="001D12D7" w:rsidRDefault="007829FB" w:rsidP="007829FB">
      <w:pPr>
        <w:ind w:firstLine="851"/>
        <w:jc w:val="both"/>
        <w:rPr>
          <w:sz w:val="24"/>
          <w:szCs w:val="24"/>
          <w:lang w:eastAsia="ru-RU"/>
        </w:rPr>
      </w:pPr>
      <w:r w:rsidRPr="001D12D7">
        <w:rPr>
          <w:sz w:val="24"/>
          <w:szCs w:val="24"/>
          <w:lang w:eastAsia="ru-RU"/>
        </w:rPr>
        <w:t>а) з облікових регістрів суб’єкта господарювання або</w:t>
      </w:r>
    </w:p>
    <w:p w14:paraId="02CEFA9A" w14:textId="77777777" w:rsidR="007829FB" w:rsidRPr="001D12D7" w:rsidRDefault="007829FB" w:rsidP="007829FB">
      <w:pPr>
        <w:ind w:firstLine="851"/>
        <w:jc w:val="both"/>
        <w:rPr>
          <w:sz w:val="24"/>
          <w:szCs w:val="24"/>
          <w:lang w:eastAsia="ru-RU"/>
        </w:rPr>
      </w:pPr>
      <w:r w:rsidRPr="001D12D7">
        <w:rPr>
          <w:sz w:val="24"/>
          <w:szCs w:val="24"/>
          <w:lang w:eastAsia="ru-RU"/>
        </w:rPr>
        <w:t>б) шляхом коригування продажу, собівартості проданої продукції (дохід у вигляді відсотків та подібний дохід, витрати на відсотки та подібні витрати для фінансової установи), а також інших статей у звіті про прибутки та збитки щодо:</w:t>
      </w:r>
    </w:p>
    <w:p w14:paraId="5970960C" w14:textId="77777777" w:rsidR="007829FB" w:rsidRPr="001D12D7" w:rsidRDefault="007829FB" w:rsidP="007829FB">
      <w:pPr>
        <w:pStyle w:val="a7"/>
        <w:numPr>
          <w:ilvl w:val="0"/>
          <w:numId w:val="13"/>
        </w:numPr>
        <w:jc w:val="both"/>
        <w:rPr>
          <w:rFonts w:ascii="Times New Roman" w:hAnsi="Times New Roman"/>
          <w:sz w:val="24"/>
          <w:szCs w:val="24"/>
          <w:lang w:eastAsia="ru-RU"/>
        </w:rPr>
      </w:pPr>
      <w:r w:rsidRPr="001D12D7">
        <w:rPr>
          <w:rFonts w:ascii="Times New Roman" w:hAnsi="Times New Roman"/>
          <w:sz w:val="24"/>
          <w:szCs w:val="24"/>
          <w:lang w:eastAsia="ru-RU"/>
        </w:rPr>
        <w:t>·        змін протягом періоду в запасах і дебіторській та кредиторській</w:t>
      </w:r>
    </w:p>
    <w:p w14:paraId="4F393BBA" w14:textId="77777777" w:rsidR="007829FB" w:rsidRPr="001D12D7" w:rsidRDefault="007829FB" w:rsidP="007829FB">
      <w:pPr>
        <w:pStyle w:val="a7"/>
        <w:numPr>
          <w:ilvl w:val="0"/>
          <w:numId w:val="13"/>
        </w:numPr>
        <w:jc w:val="both"/>
        <w:rPr>
          <w:rFonts w:ascii="Times New Roman" w:hAnsi="Times New Roman"/>
          <w:sz w:val="24"/>
          <w:szCs w:val="24"/>
          <w:lang w:eastAsia="ru-RU"/>
        </w:rPr>
      </w:pPr>
      <w:r w:rsidRPr="001D12D7">
        <w:rPr>
          <w:rFonts w:ascii="Times New Roman" w:hAnsi="Times New Roman"/>
          <w:sz w:val="24"/>
          <w:szCs w:val="24"/>
          <w:lang w:eastAsia="ru-RU"/>
        </w:rPr>
        <w:t>·        заборгованості;</w:t>
      </w:r>
    </w:p>
    <w:p w14:paraId="61B53898" w14:textId="77777777" w:rsidR="007829FB" w:rsidRPr="001D12D7" w:rsidRDefault="007829FB" w:rsidP="007829FB">
      <w:pPr>
        <w:pStyle w:val="a7"/>
        <w:numPr>
          <w:ilvl w:val="0"/>
          <w:numId w:val="13"/>
        </w:numPr>
        <w:jc w:val="both"/>
        <w:rPr>
          <w:rFonts w:ascii="Times New Roman" w:hAnsi="Times New Roman"/>
          <w:sz w:val="24"/>
          <w:szCs w:val="24"/>
          <w:lang w:eastAsia="ru-RU"/>
        </w:rPr>
      </w:pPr>
      <w:r w:rsidRPr="001D12D7">
        <w:rPr>
          <w:rFonts w:ascii="Times New Roman" w:hAnsi="Times New Roman"/>
          <w:sz w:val="24"/>
          <w:szCs w:val="24"/>
          <w:lang w:eastAsia="ru-RU"/>
        </w:rPr>
        <w:lastRenderedPageBreak/>
        <w:t>·        інших негрошових статей;</w:t>
      </w:r>
    </w:p>
    <w:p w14:paraId="0048F9E3" w14:textId="77777777" w:rsidR="007829FB" w:rsidRPr="001D12D7" w:rsidRDefault="007829FB" w:rsidP="007829FB">
      <w:pPr>
        <w:pStyle w:val="a7"/>
        <w:numPr>
          <w:ilvl w:val="0"/>
          <w:numId w:val="13"/>
        </w:numPr>
        <w:jc w:val="both"/>
        <w:rPr>
          <w:rFonts w:ascii="Times New Roman" w:hAnsi="Times New Roman"/>
          <w:sz w:val="24"/>
          <w:szCs w:val="24"/>
          <w:lang w:eastAsia="ru-RU"/>
        </w:rPr>
      </w:pPr>
      <w:r w:rsidRPr="001D12D7">
        <w:rPr>
          <w:rFonts w:ascii="Times New Roman" w:hAnsi="Times New Roman"/>
          <w:sz w:val="24"/>
          <w:szCs w:val="24"/>
          <w:lang w:eastAsia="ru-RU"/>
        </w:rPr>
        <w:t>·        інших статей для яких вплив грошових коштів є грошовими</w:t>
      </w:r>
    </w:p>
    <w:p w14:paraId="0AA724B4" w14:textId="77777777" w:rsidR="007829FB" w:rsidRPr="001D12D7" w:rsidRDefault="007829FB" w:rsidP="007829FB">
      <w:pPr>
        <w:pStyle w:val="a7"/>
        <w:numPr>
          <w:ilvl w:val="0"/>
          <w:numId w:val="13"/>
        </w:numPr>
        <w:jc w:val="both"/>
        <w:rPr>
          <w:rFonts w:ascii="Times New Roman" w:hAnsi="Times New Roman"/>
          <w:sz w:val="24"/>
          <w:szCs w:val="24"/>
          <w:lang w:eastAsia="ru-RU"/>
        </w:rPr>
      </w:pPr>
      <w:r w:rsidRPr="001D12D7">
        <w:rPr>
          <w:rFonts w:ascii="Times New Roman" w:hAnsi="Times New Roman"/>
          <w:sz w:val="24"/>
          <w:szCs w:val="24"/>
          <w:lang w:eastAsia="ru-RU"/>
        </w:rPr>
        <w:t>·        потоками від інвестиційної або фінансової діяльності.</w:t>
      </w:r>
    </w:p>
    <w:p w14:paraId="4937B973" w14:textId="032BC980" w:rsidR="007829FB" w:rsidRPr="001D12D7" w:rsidRDefault="007829FB" w:rsidP="007829FB">
      <w:pPr>
        <w:ind w:firstLine="851"/>
        <w:jc w:val="both"/>
        <w:rPr>
          <w:sz w:val="24"/>
          <w:szCs w:val="24"/>
          <w:lang w:eastAsia="ru-RU"/>
        </w:rPr>
      </w:pPr>
      <w:r w:rsidRPr="001D12D7">
        <w:rPr>
          <w:sz w:val="24"/>
          <w:szCs w:val="24"/>
          <w:lang w:eastAsia="ru-RU"/>
        </w:rPr>
        <w:t>Для статті дебіторська заборгованість - проведено оцінку ризиків можливого суттєвого викривлення внаслідок шахрайства чи помилки; здійснено аналіз дотримання вимог законодавчих та нормативних актів; досліджено наявність та ефективність системи внутрішнього контролю; вивчено та проаналізовано на відповідність МСФЗ облікові підходи та судження встановлені у обліковій політиці Товариства; проведено тестування програмного забезпечення в частині обліку угод та проведених розрахунків за виданими фінансовими кредитами та нарахованими процентами;; розроблено й виконано процедури по суті (включаючи процедуру зовнішнього підтвердження); розглянуті та проаналізовані - угоди, первинні документи обліку та документи щодо виконані подальші процедури, які передбачали перевірку, перерахунок, підтвердження, аналітичні процедури та запити; здійснено оцінку достатності та відповідності отриманих доказів.</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842"/>
        <w:gridCol w:w="1437"/>
        <w:gridCol w:w="3100"/>
        <w:gridCol w:w="2438"/>
      </w:tblGrid>
      <w:tr w:rsidR="00EF42C6" w:rsidRPr="001D12D7" w14:paraId="6D78A764" w14:textId="77777777" w:rsidTr="006074BF">
        <w:tc>
          <w:tcPr>
            <w:tcW w:w="397" w:type="dxa"/>
            <w:shd w:val="clear" w:color="auto" w:fill="auto"/>
          </w:tcPr>
          <w:p w14:paraId="16431A0B" w14:textId="77777777" w:rsidR="00EF42C6" w:rsidRPr="001D12D7" w:rsidRDefault="00EF42C6" w:rsidP="00B54ACB">
            <w:r w:rsidRPr="001D12D7">
              <w:t>№</w:t>
            </w:r>
          </w:p>
        </w:tc>
        <w:tc>
          <w:tcPr>
            <w:tcW w:w="1842" w:type="dxa"/>
            <w:shd w:val="clear" w:color="auto" w:fill="auto"/>
          </w:tcPr>
          <w:p w14:paraId="274ADB0F" w14:textId="77777777" w:rsidR="00EF42C6" w:rsidRPr="001D12D7" w:rsidRDefault="00EF42C6" w:rsidP="00B54ACB">
            <w:pPr>
              <w:ind w:firstLine="175"/>
            </w:pPr>
            <w:r w:rsidRPr="001D12D7">
              <w:t>Сума тис. грн.</w:t>
            </w:r>
          </w:p>
        </w:tc>
        <w:tc>
          <w:tcPr>
            <w:tcW w:w="1437" w:type="dxa"/>
          </w:tcPr>
          <w:p w14:paraId="2D43AD23" w14:textId="4E4AC985" w:rsidR="00EF42C6" w:rsidRPr="001D12D7" w:rsidRDefault="00EF42C6" w:rsidP="00B54ACB">
            <w:pPr>
              <w:ind w:firstLine="60"/>
            </w:pPr>
            <w:r w:rsidRPr="001D12D7">
              <w:t>Справедлива вартість</w:t>
            </w:r>
            <w:r w:rsidR="001D12D7">
              <w:t>, грн.</w:t>
            </w:r>
          </w:p>
        </w:tc>
        <w:tc>
          <w:tcPr>
            <w:tcW w:w="3100" w:type="dxa"/>
            <w:shd w:val="clear" w:color="auto" w:fill="auto"/>
          </w:tcPr>
          <w:p w14:paraId="3293F81B" w14:textId="3CA9C155" w:rsidR="00EF42C6" w:rsidRPr="001D12D7" w:rsidRDefault="00EF42C6" w:rsidP="00B54ACB">
            <w:pPr>
              <w:ind w:firstLine="90"/>
            </w:pPr>
            <w:r w:rsidRPr="001D12D7">
              <w:t>Предмет договорів</w:t>
            </w:r>
          </w:p>
        </w:tc>
        <w:tc>
          <w:tcPr>
            <w:tcW w:w="2438" w:type="dxa"/>
            <w:shd w:val="clear" w:color="auto" w:fill="auto"/>
          </w:tcPr>
          <w:p w14:paraId="71A1F674" w14:textId="77777777" w:rsidR="00EF42C6" w:rsidRPr="001D12D7" w:rsidRDefault="00EF42C6" w:rsidP="00B54ACB">
            <w:pPr>
              <w:ind w:firstLine="86"/>
            </w:pPr>
            <w:r w:rsidRPr="001D12D7">
              <w:t xml:space="preserve">Реквізити договору, що підтверджує право власності на фінансовий актив </w:t>
            </w:r>
          </w:p>
        </w:tc>
      </w:tr>
      <w:tr w:rsidR="00EF42C6" w:rsidRPr="001D12D7" w14:paraId="103B2B18" w14:textId="77777777" w:rsidTr="006074BF">
        <w:trPr>
          <w:trHeight w:val="481"/>
        </w:trPr>
        <w:tc>
          <w:tcPr>
            <w:tcW w:w="397" w:type="dxa"/>
            <w:shd w:val="clear" w:color="auto" w:fill="auto"/>
          </w:tcPr>
          <w:p w14:paraId="48BA8CDB" w14:textId="77777777" w:rsidR="00EF42C6" w:rsidRPr="001D12D7" w:rsidRDefault="00EF42C6" w:rsidP="00B54ACB">
            <w:pPr>
              <w:ind w:firstLine="708"/>
            </w:pPr>
            <w:r w:rsidRPr="001D12D7">
              <w:t>1</w:t>
            </w:r>
          </w:p>
        </w:tc>
        <w:tc>
          <w:tcPr>
            <w:tcW w:w="1842" w:type="dxa"/>
            <w:shd w:val="clear" w:color="auto" w:fill="auto"/>
          </w:tcPr>
          <w:p w14:paraId="37BA8C32" w14:textId="5DC189A6" w:rsidR="00EF42C6" w:rsidRPr="001D12D7" w:rsidRDefault="001F267A" w:rsidP="00B54ACB">
            <w:pPr>
              <w:ind w:firstLine="34"/>
            </w:pPr>
            <w:r w:rsidRPr="001D12D7">
              <w:t>1133336</w:t>
            </w:r>
          </w:p>
        </w:tc>
        <w:tc>
          <w:tcPr>
            <w:tcW w:w="1437" w:type="dxa"/>
          </w:tcPr>
          <w:p w14:paraId="61F3A2F6" w14:textId="141F7B3A" w:rsidR="00EF42C6" w:rsidRPr="001D12D7" w:rsidRDefault="001F267A" w:rsidP="00B54ACB">
            <w:pPr>
              <w:ind w:right="-450" w:hanging="82"/>
            </w:pPr>
            <w:r w:rsidRPr="001D12D7">
              <w:t>1133336</w:t>
            </w:r>
          </w:p>
        </w:tc>
        <w:tc>
          <w:tcPr>
            <w:tcW w:w="3100" w:type="dxa"/>
            <w:shd w:val="clear" w:color="auto" w:fill="auto"/>
          </w:tcPr>
          <w:p w14:paraId="040CBA97" w14:textId="77777777" w:rsidR="00EF42C6" w:rsidRPr="001D12D7" w:rsidRDefault="00EF42C6" w:rsidP="00B54ACB">
            <w:pPr>
              <w:ind w:hanging="52"/>
            </w:pPr>
            <w:r w:rsidRPr="001D12D7">
              <w:t>Заставне майно ( дорогоцінні метали і побутова техніка)</w:t>
            </w:r>
          </w:p>
        </w:tc>
        <w:tc>
          <w:tcPr>
            <w:tcW w:w="2438" w:type="dxa"/>
            <w:shd w:val="clear" w:color="auto" w:fill="auto"/>
          </w:tcPr>
          <w:p w14:paraId="775EF072" w14:textId="77777777" w:rsidR="00EF42C6" w:rsidRPr="001D12D7" w:rsidRDefault="00EF42C6" w:rsidP="00B54ACB">
            <w:pPr>
              <w:ind w:hanging="47"/>
            </w:pPr>
            <w:r w:rsidRPr="001D12D7">
              <w:t>Договори надання фінансових кредитів</w:t>
            </w:r>
          </w:p>
        </w:tc>
      </w:tr>
      <w:tr w:rsidR="00EF42C6" w:rsidRPr="001D12D7" w14:paraId="1696C549" w14:textId="77777777" w:rsidTr="006074BF">
        <w:tc>
          <w:tcPr>
            <w:tcW w:w="397" w:type="dxa"/>
            <w:shd w:val="clear" w:color="auto" w:fill="auto"/>
          </w:tcPr>
          <w:p w14:paraId="48F0FDED" w14:textId="77777777" w:rsidR="00EF42C6" w:rsidRPr="001D12D7" w:rsidRDefault="00EF42C6" w:rsidP="00B54ACB">
            <w:pPr>
              <w:ind w:firstLine="708"/>
            </w:pPr>
          </w:p>
        </w:tc>
        <w:tc>
          <w:tcPr>
            <w:tcW w:w="1842" w:type="dxa"/>
            <w:shd w:val="clear" w:color="auto" w:fill="auto"/>
          </w:tcPr>
          <w:p w14:paraId="604A4E81" w14:textId="77777777" w:rsidR="00EF42C6" w:rsidRPr="001D12D7" w:rsidRDefault="00EF42C6" w:rsidP="00B54ACB">
            <w:pPr>
              <w:ind w:firstLine="708"/>
            </w:pPr>
          </w:p>
        </w:tc>
        <w:tc>
          <w:tcPr>
            <w:tcW w:w="1437" w:type="dxa"/>
          </w:tcPr>
          <w:p w14:paraId="655D3644" w14:textId="77777777" w:rsidR="00EF42C6" w:rsidRPr="001D12D7" w:rsidRDefault="00EF42C6" w:rsidP="00B54ACB">
            <w:pPr>
              <w:ind w:firstLine="708"/>
            </w:pPr>
          </w:p>
        </w:tc>
        <w:tc>
          <w:tcPr>
            <w:tcW w:w="3100" w:type="dxa"/>
            <w:shd w:val="clear" w:color="auto" w:fill="auto"/>
          </w:tcPr>
          <w:p w14:paraId="12F7C0E8" w14:textId="77777777" w:rsidR="00EF42C6" w:rsidRPr="001D12D7" w:rsidRDefault="00EF42C6" w:rsidP="00B54ACB">
            <w:pPr>
              <w:ind w:firstLine="708"/>
            </w:pPr>
          </w:p>
        </w:tc>
        <w:tc>
          <w:tcPr>
            <w:tcW w:w="2438" w:type="dxa"/>
            <w:shd w:val="clear" w:color="auto" w:fill="auto"/>
          </w:tcPr>
          <w:p w14:paraId="45B046BE" w14:textId="77777777" w:rsidR="00EF42C6" w:rsidRPr="001D12D7" w:rsidRDefault="00EF42C6" w:rsidP="00B54ACB">
            <w:pPr>
              <w:ind w:firstLine="708"/>
            </w:pPr>
          </w:p>
        </w:tc>
      </w:tr>
    </w:tbl>
    <w:p w14:paraId="311B4854" w14:textId="5B86133C" w:rsidR="00EF42C6" w:rsidRPr="001D12D7" w:rsidRDefault="00EF42C6" w:rsidP="00EF42C6">
      <w:pPr>
        <w:ind w:firstLine="851"/>
        <w:jc w:val="both"/>
        <w:rPr>
          <w:sz w:val="24"/>
          <w:szCs w:val="24"/>
          <w:lang w:eastAsia="ru-RU"/>
        </w:rPr>
      </w:pPr>
      <w:r w:rsidRPr="001D12D7">
        <w:rPr>
          <w:sz w:val="24"/>
          <w:szCs w:val="24"/>
          <w:lang w:eastAsia="ru-RU"/>
        </w:rPr>
        <w:t xml:space="preserve">Товариство під час первісного визнання безвідклично призначило зазначені  фінансові активи у сумі </w:t>
      </w:r>
      <w:r w:rsidR="006074BF" w:rsidRPr="001D12D7">
        <w:t xml:space="preserve">1133336 </w:t>
      </w:r>
      <w:r w:rsidRPr="001D12D7">
        <w:rPr>
          <w:sz w:val="24"/>
          <w:szCs w:val="24"/>
          <w:lang w:eastAsia="ru-RU"/>
        </w:rPr>
        <w:t xml:space="preserve">грн  як такі, що оцінюється за справедливою вартістю через прибуток або збиток. </w:t>
      </w:r>
      <w:bookmarkStart w:id="5" w:name="_Hlk163385218"/>
      <w:r w:rsidRPr="001D12D7">
        <w:rPr>
          <w:sz w:val="24"/>
          <w:szCs w:val="24"/>
          <w:lang w:eastAsia="ru-RU"/>
        </w:rPr>
        <w:t>Керівництво вважає, що згідно п. 4.1.5 МСФЗ 9    таке рішення усуває, або значно зменшує невідповідність в оцінці або визнанні (яку подекуди називають "неузгодженістю обліку"), що в іншому випадку виникла б при оцінці активів або зобов'язань, або при визнанні прибутків і збитків за ними на різних основах.</w:t>
      </w:r>
      <w:bookmarkEnd w:id="5"/>
    </w:p>
    <w:p w14:paraId="7EB28AF0" w14:textId="77777777" w:rsidR="00EF42C6" w:rsidRPr="001D12D7" w:rsidRDefault="00EF42C6" w:rsidP="00EF42C6">
      <w:pPr>
        <w:ind w:firstLine="851"/>
        <w:jc w:val="both"/>
        <w:rPr>
          <w:sz w:val="24"/>
          <w:szCs w:val="24"/>
          <w:lang w:eastAsia="ru-RU"/>
        </w:rPr>
      </w:pPr>
      <w:r w:rsidRPr="001D12D7">
        <w:rPr>
          <w:sz w:val="24"/>
          <w:szCs w:val="24"/>
          <w:lang w:eastAsia="ru-RU"/>
        </w:rPr>
        <w:t xml:space="preserve">     Дебіторською заборгованістю, визнаються фінансові активи  (за виключенням дебіторської заборгованості, за якою не очікується отримання грошових коштів або фінансових інструментів, за розрахунками з операційної оренди та за розрахунками с бюджетом) та первісно оцінюються за справедливою вартістю плюс відповідні витрати на проведення операцій. Після первісного визнання дебіторська заборгованість (довгострокова) оцінюються за амортизованою собівартістю</w:t>
      </w:r>
    </w:p>
    <w:p w14:paraId="79D2517F" w14:textId="254D4885" w:rsidR="007829FB" w:rsidRPr="001D12D7" w:rsidRDefault="007829FB" w:rsidP="007829FB">
      <w:pPr>
        <w:ind w:firstLine="851"/>
        <w:jc w:val="both"/>
        <w:rPr>
          <w:sz w:val="24"/>
          <w:szCs w:val="24"/>
          <w:lang w:eastAsia="ru-RU"/>
        </w:rPr>
      </w:pPr>
      <w:r w:rsidRPr="001D12D7">
        <w:rPr>
          <w:sz w:val="24"/>
          <w:szCs w:val="24"/>
          <w:lang w:eastAsia="ru-RU"/>
        </w:rPr>
        <w:t xml:space="preserve">Товариство у </w:t>
      </w:r>
      <w:r w:rsidR="00BF08E6" w:rsidRPr="001D12D7">
        <w:rPr>
          <w:sz w:val="24"/>
          <w:szCs w:val="24"/>
          <w:lang w:eastAsia="ru-RU"/>
        </w:rPr>
        <w:t>2024</w:t>
      </w:r>
      <w:r w:rsidRPr="001D12D7">
        <w:rPr>
          <w:sz w:val="24"/>
          <w:szCs w:val="24"/>
          <w:lang w:eastAsia="ru-RU"/>
        </w:rPr>
        <w:t xml:space="preserve"> році застосовувало спрощену процедуру обліку орендних платежів в складі  поточних витрат, згідно п.5-7 стандарту МСФЗ (IFRS) 16,  Орендні платежі мають низьку вартість, та відсутній суттєвий вплив на загальну фінансову звітність. </w:t>
      </w:r>
    </w:p>
    <w:p w14:paraId="148D792A" w14:textId="2E15EAAB" w:rsidR="007829FB" w:rsidRPr="001D12D7" w:rsidRDefault="007829FB" w:rsidP="007829FB">
      <w:pPr>
        <w:ind w:firstLine="851"/>
        <w:jc w:val="both"/>
        <w:rPr>
          <w:sz w:val="24"/>
          <w:szCs w:val="24"/>
          <w:lang w:eastAsia="ru-RU"/>
        </w:rPr>
      </w:pPr>
      <w:r w:rsidRPr="001D12D7">
        <w:rPr>
          <w:sz w:val="24"/>
          <w:szCs w:val="24"/>
          <w:lang w:eastAsia="ru-RU"/>
        </w:rPr>
        <w:t xml:space="preserve">Товариство у </w:t>
      </w:r>
      <w:r w:rsidR="00BF08E6" w:rsidRPr="001D12D7">
        <w:rPr>
          <w:sz w:val="24"/>
          <w:szCs w:val="24"/>
          <w:lang w:eastAsia="ru-RU"/>
        </w:rPr>
        <w:t>2024</w:t>
      </w:r>
      <w:r w:rsidRPr="001D12D7">
        <w:rPr>
          <w:sz w:val="24"/>
          <w:szCs w:val="24"/>
          <w:lang w:eastAsia="ru-RU"/>
        </w:rPr>
        <w:t xml:space="preserve"> році не здійснювало операції з цінними паперами, у тому числі державними або іноземними, та не має будь-яких залишків цінних паперів на Балансі станом на 31.12.</w:t>
      </w:r>
      <w:r w:rsidR="00BF08E6" w:rsidRPr="001D12D7">
        <w:rPr>
          <w:sz w:val="24"/>
          <w:szCs w:val="24"/>
          <w:lang w:eastAsia="ru-RU"/>
        </w:rPr>
        <w:t>2024</w:t>
      </w:r>
      <w:r w:rsidRPr="001D12D7">
        <w:rPr>
          <w:sz w:val="24"/>
          <w:szCs w:val="24"/>
          <w:lang w:eastAsia="ru-RU"/>
        </w:rPr>
        <w:t xml:space="preserve"> року, а також на дату надання цього запевнення.</w:t>
      </w:r>
    </w:p>
    <w:p w14:paraId="30123CE0" w14:textId="77777777" w:rsidR="00B61DB7" w:rsidRPr="001D12D7" w:rsidRDefault="00B61DB7" w:rsidP="00B61DB7">
      <w:pPr>
        <w:ind w:firstLine="851"/>
        <w:jc w:val="both"/>
        <w:rPr>
          <w:sz w:val="24"/>
          <w:szCs w:val="24"/>
          <w:lang w:eastAsia="ru-RU"/>
        </w:rPr>
      </w:pPr>
      <w:r w:rsidRPr="001D12D7">
        <w:rPr>
          <w:sz w:val="24"/>
          <w:szCs w:val="24"/>
          <w:lang w:eastAsia="ru-RU"/>
        </w:rPr>
        <w:t>Планування та виконання аудиторських процедур здійснено, у масштабі необхідному для забезпечення одержання обсягу достатніх і прийнятних аудиторських доказів, необхідних для формування обґрунтованої впевненості аудиторів, щодо предмета завдання.</w:t>
      </w:r>
    </w:p>
    <w:p w14:paraId="46B63351" w14:textId="7D02C469" w:rsidR="00B61DB7" w:rsidRPr="001D12D7" w:rsidRDefault="00B61DB7" w:rsidP="00B61DB7">
      <w:pPr>
        <w:ind w:firstLine="851"/>
        <w:jc w:val="both"/>
        <w:rPr>
          <w:sz w:val="24"/>
          <w:szCs w:val="24"/>
          <w:lang w:eastAsia="ru-RU"/>
        </w:rPr>
      </w:pPr>
      <w:r w:rsidRPr="001D12D7">
        <w:rPr>
          <w:sz w:val="24"/>
          <w:szCs w:val="24"/>
          <w:lang w:eastAsia="ru-RU"/>
        </w:rPr>
        <w:t>Обґрунтована впевненість є високим рівнем впевненості, проте не гарантує, що завдання з надання впевненості, виконане згідно з Міжнародним стандартом завдань з надання впевненості 3000 (переглянутий) «Завдання з надання впевненості, що не є аудитом чи оглядом історичної фінансової інформації» завжди виявить суттєву невідповідність, якщо вона існує. Невідповідність може бути результатом шахрайства або помилки; вона вважаються суттєвою, якщо окремо або в сукупності, як обґрунтовано очікується, вона може впливати на рішення користувачів, що приймаються на основі цих звітних даних та розміру окремих статей активів Товариства.</w:t>
      </w:r>
    </w:p>
    <w:p w14:paraId="6E35DFDC" w14:textId="6ED89C1E" w:rsidR="00B61DB7" w:rsidRPr="001D12D7" w:rsidRDefault="00B61DB7" w:rsidP="00B61DB7">
      <w:pPr>
        <w:ind w:firstLine="851"/>
        <w:jc w:val="both"/>
        <w:rPr>
          <w:sz w:val="24"/>
          <w:szCs w:val="24"/>
          <w:lang w:eastAsia="ru-RU"/>
        </w:rPr>
      </w:pPr>
    </w:p>
    <w:p w14:paraId="06EA26C2" w14:textId="5FDD9DB1" w:rsidR="006074BF" w:rsidRPr="001D12D7" w:rsidRDefault="006074BF" w:rsidP="00B61DB7">
      <w:pPr>
        <w:ind w:firstLine="851"/>
        <w:jc w:val="both"/>
        <w:rPr>
          <w:sz w:val="24"/>
          <w:szCs w:val="24"/>
          <w:lang w:eastAsia="ru-RU"/>
        </w:rPr>
      </w:pPr>
    </w:p>
    <w:p w14:paraId="53F77880" w14:textId="57D6A13D" w:rsidR="006074BF" w:rsidRPr="001D12D7" w:rsidRDefault="006074BF" w:rsidP="00B61DB7">
      <w:pPr>
        <w:ind w:firstLine="851"/>
        <w:jc w:val="both"/>
        <w:rPr>
          <w:sz w:val="24"/>
          <w:szCs w:val="24"/>
          <w:lang w:eastAsia="ru-RU"/>
        </w:rPr>
      </w:pPr>
    </w:p>
    <w:p w14:paraId="4CC5C493" w14:textId="044B5541" w:rsidR="00144E8C" w:rsidRPr="001D12D7" w:rsidRDefault="00144E8C" w:rsidP="00144E8C">
      <w:pPr>
        <w:ind w:right="-61"/>
        <w:jc w:val="both"/>
        <w:rPr>
          <w:b/>
          <w:i/>
          <w:iCs/>
          <w:sz w:val="24"/>
          <w:szCs w:val="24"/>
        </w:rPr>
      </w:pPr>
      <w:r w:rsidRPr="001D12D7">
        <w:rPr>
          <w:b/>
          <w:i/>
          <w:iCs/>
          <w:sz w:val="24"/>
          <w:szCs w:val="24"/>
        </w:rPr>
        <w:t xml:space="preserve">Висновок </w:t>
      </w:r>
    </w:p>
    <w:p w14:paraId="59124EDE" w14:textId="77777777" w:rsidR="00A8206F" w:rsidRPr="001D12D7" w:rsidRDefault="00A8206F" w:rsidP="00144E8C">
      <w:pPr>
        <w:ind w:right="-61"/>
        <w:jc w:val="both"/>
        <w:rPr>
          <w:b/>
          <w:i/>
          <w:sz w:val="24"/>
          <w:szCs w:val="24"/>
        </w:rPr>
      </w:pPr>
    </w:p>
    <w:p w14:paraId="6A9DF9C1" w14:textId="1EF356BE" w:rsidR="00A8206F" w:rsidRPr="001D12D7" w:rsidRDefault="00144E8C" w:rsidP="00A8206F">
      <w:pPr>
        <w:ind w:right="-61"/>
        <w:jc w:val="both"/>
        <w:rPr>
          <w:b/>
          <w:sz w:val="24"/>
          <w:szCs w:val="24"/>
        </w:rPr>
      </w:pPr>
      <w:r w:rsidRPr="001D12D7">
        <w:rPr>
          <w:b/>
          <w:sz w:val="24"/>
          <w:szCs w:val="24"/>
        </w:rPr>
        <w:t xml:space="preserve">На нашу думку, звітні дані </w:t>
      </w:r>
      <w:r w:rsidR="00A8206F" w:rsidRPr="001D12D7">
        <w:rPr>
          <w:b/>
          <w:iCs/>
          <w:sz w:val="24"/>
          <w:szCs w:val="24"/>
        </w:rPr>
        <w:t>ПОВНОГО ТОВАРИСТВА</w:t>
      </w:r>
      <w:r w:rsidR="00C102D1" w:rsidRPr="001D12D7">
        <w:rPr>
          <w:b/>
          <w:iCs/>
          <w:sz w:val="24"/>
          <w:szCs w:val="24"/>
        </w:rPr>
        <w:t xml:space="preserve"> </w:t>
      </w:r>
      <w:r w:rsidRPr="001D12D7">
        <w:rPr>
          <w:b/>
          <w:iCs/>
          <w:sz w:val="24"/>
          <w:szCs w:val="24"/>
        </w:rPr>
        <w:t>«</w:t>
      </w:r>
      <w:r w:rsidR="00C16CD1" w:rsidRPr="001D12D7">
        <w:rPr>
          <w:b/>
          <w:iCs/>
          <w:sz w:val="24"/>
          <w:szCs w:val="24"/>
        </w:rPr>
        <w:t>ДІЛА ЛОМБАРД-ДІАСАМІДЗЕ  ДАВІД ШУКРІЄВИЧ ТА ДІМОВА ЛАРИСА МИКОЛАЇВНА</w:t>
      </w:r>
      <w:r w:rsidRPr="001D12D7">
        <w:rPr>
          <w:b/>
          <w:iCs/>
          <w:sz w:val="24"/>
          <w:szCs w:val="24"/>
        </w:rPr>
        <w:t>»</w:t>
      </w:r>
      <w:r w:rsidR="009579FD" w:rsidRPr="001D12D7">
        <w:rPr>
          <w:b/>
          <w:iCs/>
          <w:sz w:val="24"/>
          <w:szCs w:val="24"/>
        </w:rPr>
        <w:t xml:space="preserve"> </w:t>
      </w:r>
      <w:r w:rsidRPr="001D12D7">
        <w:rPr>
          <w:b/>
          <w:sz w:val="24"/>
          <w:szCs w:val="24"/>
        </w:rPr>
        <w:t xml:space="preserve">за </w:t>
      </w:r>
      <w:r w:rsidR="00BF08E6" w:rsidRPr="001D12D7">
        <w:rPr>
          <w:b/>
          <w:sz w:val="24"/>
          <w:szCs w:val="24"/>
        </w:rPr>
        <w:t>2024</w:t>
      </w:r>
      <w:r w:rsidRPr="001D12D7">
        <w:rPr>
          <w:b/>
          <w:sz w:val="24"/>
          <w:szCs w:val="24"/>
        </w:rPr>
        <w:t xml:space="preserve"> рік в усіх суттєвих аспектах відповідають вимогам постанови Правління Національного банку України від 25 листопада 2021 року № 123 «Про затвердження Правил складання та подання звітності учасниками ринку небанківських фінансових послуг до Національного банку України».</w:t>
      </w:r>
      <w:r w:rsidR="005C76DF" w:rsidRPr="001D12D7">
        <w:rPr>
          <w:b/>
          <w:sz w:val="24"/>
          <w:szCs w:val="24"/>
        </w:rPr>
        <w:t xml:space="preserve"> </w:t>
      </w:r>
    </w:p>
    <w:p w14:paraId="2DE9CDFB" w14:textId="361200AD" w:rsidR="00B61DB7" w:rsidRPr="001D12D7" w:rsidRDefault="00B61DB7" w:rsidP="00B61DB7">
      <w:pPr>
        <w:ind w:right="-61"/>
        <w:jc w:val="both"/>
        <w:rPr>
          <w:b/>
          <w:sz w:val="24"/>
          <w:szCs w:val="24"/>
        </w:rPr>
      </w:pPr>
      <w:r w:rsidRPr="001D12D7">
        <w:rPr>
          <w:b/>
          <w:sz w:val="24"/>
          <w:szCs w:val="24"/>
        </w:rPr>
        <w:t xml:space="preserve">Також, на нашу думку Товариство здійснило оцінку активів, відображених у фінансовій звітності за </w:t>
      </w:r>
      <w:r w:rsidR="00BF08E6" w:rsidRPr="001D12D7">
        <w:rPr>
          <w:b/>
          <w:sz w:val="24"/>
          <w:szCs w:val="24"/>
        </w:rPr>
        <w:t>2024</w:t>
      </w:r>
      <w:r w:rsidRPr="001D12D7">
        <w:rPr>
          <w:b/>
          <w:sz w:val="24"/>
          <w:szCs w:val="24"/>
        </w:rPr>
        <w:t xml:space="preserve"> рік, за статтями: грошові кошти та еквіваленти; дебіторська заборгованість та відповідно до вимог Міжнародних стандартів фінансової звітності. Отже, ми підтверджуємо, що проведена Товариством оцінка даних активів не містить в собі суттєвих викривлень та здійснена відповідно до вимог Міжнародних стандартів фінансової звітності.</w:t>
      </w:r>
    </w:p>
    <w:p w14:paraId="298D1869" w14:textId="71C6970E" w:rsidR="00144E8C" w:rsidRPr="001D12D7" w:rsidRDefault="00144E8C" w:rsidP="00A8206F">
      <w:pPr>
        <w:ind w:right="-61"/>
        <w:jc w:val="both"/>
        <w:rPr>
          <w:b/>
          <w:sz w:val="24"/>
          <w:szCs w:val="24"/>
        </w:rPr>
      </w:pPr>
      <w:r w:rsidRPr="001D12D7">
        <w:rPr>
          <w:b/>
          <w:i/>
          <w:sz w:val="24"/>
          <w:szCs w:val="24"/>
        </w:rPr>
        <w:t xml:space="preserve">   </w:t>
      </w:r>
    </w:p>
    <w:p w14:paraId="07530BA6" w14:textId="63F3AD83" w:rsidR="00144E8C" w:rsidRPr="001D12D7" w:rsidRDefault="00144E8C" w:rsidP="00144E8C">
      <w:pPr>
        <w:pStyle w:val="aa"/>
        <w:shd w:val="clear" w:color="auto" w:fill="FFFFFF"/>
        <w:spacing w:before="0" w:beforeAutospacing="0" w:after="0" w:afterAutospacing="0"/>
        <w:jc w:val="both"/>
        <w:rPr>
          <w:b/>
          <w:bCs/>
          <w:i/>
          <w:iCs/>
          <w:color w:val="222222"/>
        </w:rPr>
      </w:pPr>
      <w:r w:rsidRPr="001D12D7">
        <w:rPr>
          <w:b/>
          <w:bCs/>
          <w:i/>
          <w:iCs/>
          <w:color w:val="222222"/>
        </w:rPr>
        <w:t>Основні відомості про аудиторську фірму</w:t>
      </w:r>
    </w:p>
    <w:p w14:paraId="17F2A6F0" w14:textId="77777777" w:rsidR="00144E8C" w:rsidRPr="001D12D7" w:rsidRDefault="00144E8C" w:rsidP="00144E8C">
      <w:pPr>
        <w:pStyle w:val="aa"/>
        <w:shd w:val="clear" w:color="auto" w:fill="FFFFFF"/>
        <w:spacing w:before="0" w:beforeAutospacing="0" w:after="0" w:afterAutospacing="0"/>
        <w:jc w:val="both"/>
        <w:rPr>
          <w:b/>
          <w:bCs/>
          <w:i/>
          <w:iCs/>
          <w:color w:val="222222"/>
        </w:rPr>
      </w:pPr>
    </w:p>
    <w:tbl>
      <w:tblPr>
        <w:tblW w:w="9356" w:type="dxa"/>
        <w:tblInd w:w="108" w:type="dxa"/>
        <w:shd w:val="clear" w:color="auto" w:fill="FFFFFF"/>
        <w:tblCellMar>
          <w:left w:w="0" w:type="dxa"/>
          <w:right w:w="0" w:type="dxa"/>
        </w:tblCellMar>
        <w:tblLook w:val="04A0" w:firstRow="1" w:lastRow="0" w:firstColumn="1" w:lastColumn="0" w:noHBand="0" w:noVBand="1"/>
      </w:tblPr>
      <w:tblGrid>
        <w:gridCol w:w="2835"/>
        <w:gridCol w:w="6521"/>
      </w:tblGrid>
      <w:tr w:rsidR="009579FD" w:rsidRPr="001D12D7" w14:paraId="2CC8328B" w14:textId="77777777" w:rsidTr="007829FB">
        <w:trPr>
          <w:trHeight w:val="308"/>
        </w:trPr>
        <w:tc>
          <w:tcPr>
            <w:tcW w:w="28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B38946" w14:textId="127D58DA" w:rsidR="009579FD" w:rsidRPr="001D12D7" w:rsidRDefault="00E873E2" w:rsidP="00AD1CD1">
            <w:pPr>
              <w:pStyle w:val="aa"/>
              <w:spacing w:before="0" w:beforeAutospacing="0" w:after="0" w:afterAutospacing="0"/>
              <w:jc w:val="both"/>
              <w:rPr>
                <w:color w:val="222222"/>
              </w:rPr>
            </w:pPr>
            <w:r w:rsidRPr="001D12D7">
              <w:rPr>
                <w:color w:val="222222"/>
              </w:rPr>
              <w:t>Повне н</w:t>
            </w:r>
            <w:r w:rsidR="009579FD" w:rsidRPr="001D12D7">
              <w:rPr>
                <w:color w:val="222222"/>
              </w:rPr>
              <w:t>айменування</w:t>
            </w:r>
          </w:p>
        </w:tc>
        <w:tc>
          <w:tcPr>
            <w:tcW w:w="65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1A61D8C" w14:textId="77777777" w:rsidR="009579FD" w:rsidRPr="001D12D7" w:rsidRDefault="009579FD" w:rsidP="002960BC">
            <w:pPr>
              <w:pStyle w:val="aa"/>
              <w:spacing w:before="0" w:beforeAutospacing="0" w:after="0" w:afterAutospacing="0"/>
              <w:rPr>
                <w:color w:val="222222"/>
                <w:highlight w:val="yellow"/>
              </w:rPr>
            </w:pPr>
            <w:r w:rsidRPr="001D12D7">
              <w:rPr>
                <w:color w:val="222222"/>
              </w:rPr>
              <w:t>ТОВАРИСТВО З ОБМЕЖЕНОЮ ВІДПОВІДАЛЬНІСТЮ АУДИТОРСЬКА ФІРМА "ФІНАНСИСТ"</w:t>
            </w:r>
          </w:p>
        </w:tc>
      </w:tr>
      <w:tr w:rsidR="009579FD" w:rsidRPr="001D12D7" w14:paraId="721F734D" w14:textId="77777777" w:rsidTr="007829FB">
        <w:trPr>
          <w:trHeight w:val="256"/>
        </w:trPr>
        <w:tc>
          <w:tcPr>
            <w:tcW w:w="2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47B832" w14:textId="77777777" w:rsidR="009579FD" w:rsidRPr="001D12D7" w:rsidRDefault="009579FD" w:rsidP="00AD1CD1">
            <w:pPr>
              <w:pStyle w:val="aa"/>
              <w:spacing w:before="0" w:beforeAutospacing="0" w:after="0" w:afterAutospacing="0"/>
              <w:jc w:val="both"/>
              <w:rPr>
                <w:color w:val="222222"/>
              </w:rPr>
            </w:pPr>
            <w:r w:rsidRPr="001D12D7">
              <w:rPr>
                <w:color w:val="222222"/>
              </w:rPr>
              <w:t>Код за ЄДРПОУ</w:t>
            </w:r>
          </w:p>
        </w:tc>
        <w:tc>
          <w:tcPr>
            <w:tcW w:w="6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720465" w14:textId="77777777" w:rsidR="009579FD" w:rsidRPr="001D12D7" w:rsidRDefault="009579FD" w:rsidP="00AD1CD1">
            <w:pPr>
              <w:pStyle w:val="aa"/>
              <w:spacing w:before="0" w:beforeAutospacing="0" w:after="0" w:afterAutospacing="0"/>
              <w:jc w:val="both"/>
              <w:rPr>
                <w:color w:val="222222"/>
              </w:rPr>
            </w:pPr>
            <w:r w:rsidRPr="001D12D7">
              <w:rPr>
                <w:color w:val="000000"/>
                <w:lang w:val="ru-RU"/>
              </w:rPr>
              <w:t>21860250</w:t>
            </w:r>
          </w:p>
        </w:tc>
      </w:tr>
      <w:tr w:rsidR="009579FD" w:rsidRPr="001D12D7" w14:paraId="7EAF62E8" w14:textId="77777777" w:rsidTr="007829FB">
        <w:trPr>
          <w:trHeight w:val="274"/>
        </w:trPr>
        <w:tc>
          <w:tcPr>
            <w:tcW w:w="2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B973E4B" w14:textId="77777777" w:rsidR="009579FD" w:rsidRPr="001D12D7" w:rsidRDefault="009579FD" w:rsidP="00AD1CD1">
            <w:pPr>
              <w:pStyle w:val="aa"/>
              <w:spacing w:before="0" w:beforeAutospacing="0" w:after="0" w:afterAutospacing="0"/>
              <w:jc w:val="both"/>
              <w:rPr>
                <w:color w:val="222222"/>
              </w:rPr>
            </w:pPr>
            <w:r w:rsidRPr="001D12D7">
              <w:rPr>
                <w:color w:val="222222"/>
              </w:rPr>
              <w:t>Включено до Реєстру аудиторів та суб’єктів аудиторської діяльності</w:t>
            </w:r>
          </w:p>
          <w:p w14:paraId="343D9DB0" w14:textId="77777777" w:rsidR="009579FD" w:rsidRPr="001D12D7" w:rsidRDefault="009579FD" w:rsidP="00AD1CD1">
            <w:pPr>
              <w:pStyle w:val="aa"/>
              <w:spacing w:before="0" w:beforeAutospacing="0" w:after="0" w:afterAutospacing="0"/>
              <w:jc w:val="both"/>
              <w:rPr>
                <w:color w:val="222222"/>
              </w:rPr>
            </w:pPr>
          </w:p>
          <w:p w14:paraId="3AD725A1" w14:textId="77777777" w:rsidR="009579FD" w:rsidRPr="001D12D7" w:rsidRDefault="009579FD" w:rsidP="00AD1CD1">
            <w:pPr>
              <w:pStyle w:val="aa"/>
              <w:spacing w:before="0" w:beforeAutospacing="0" w:after="0" w:afterAutospacing="0"/>
              <w:jc w:val="both"/>
              <w:rPr>
                <w:color w:val="222222"/>
              </w:rPr>
            </w:pPr>
          </w:p>
        </w:tc>
        <w:tc>
          <w:tcPr>
            <w:tcW w:w="6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ACB7045" w14:textId="77777777" w:rsidR="009579FD" w:rsidRPr="001D12D7" w:rsidRDefault="009579FD" w:rsidP="00AD1CD1">
            <w:pPr>
              <w:pStyle w:val="aa"/>
              <w:spacing w:before="0" w:beforeAutospacing="0" w:after="0" w:afterAutospacing="0"/>
              <w:jc w:val="both"/>
              <w:rPr>
                <w:color w:val="222222"/>
              </w:rPr>
            </w:pPr>
            <w:r w:rsidRPr="001D12D7">
              <w:rPr>
                <w:color w:val="222222"/>
              </w:rPr>
              <w:t>Розділ Суб’єкти аудиторської діяльності</w:t>
            </w:r>
          </w:p>
          <w:p w14:paraId="199EFEA8" w14:textId="77777777" w:rsidR="009579FD" w:rsidRPr="001D12D7" w:rsidRDefault="009579FD" w:rsidP="00AD1CD1">
            <w:pPr>
              <w:pStyle w:val="aa"/>
              <w:spacing w:before="0" w:beforeAutospacing="0" w:after="0" w:afterAutospacing="0"/>
              <w:jc w:val="both"/>
              <w:rPr>
                <w:color w:val="222222"/>
              </w:rPr>
            </w:pPr>
            <w:r w:rsidRPr="001D12D7">
              <w:rPr>
                <w:color w:val="222222"/>
              </w:rPr>
              <w:t>Дата включення до Реєстру: 30.10.18 р.</w:t>
            </w:r>
          </w:p>
          <w:p w14:paraId="039C229D" w14:textId="77777777" w:rsidR="009579FD" w:rsidRPr="001D12D7" w:rsidRDefault="009579FD" w:rsidP="00AD1CD1">
            <w:pPr>
              <w:pStyle w:val="aa"/>
              <w:spacing w:before="0" w:beforeAutospacing="0" w:after="0" w:afterAutospacing="0"/>
              <w:jc w:val="both"/>
              <w:rPr>
                <w:color w:val="222222"/>
              </w:rPr>
            </w:pPr>
            <w:r w:rsidRPr="001D12D7">
              <w:rPr>
                <w:color w:val="222222"/>
              </w:rPr>
              <w:t>Номер реєстрації у Реєстрі: 0402</w:t>
            </w:r>
          </w:p>
          <w:p w14:paraId="17E8A1A0" w14:textId="77777777" w:rsidR="009579FD" w:rsidRPr="001D12D7" w:rsidRDefault="009579FD" w:rsidP="00AD1CD1">
            <w:pPr>
              <w:pStyle w:val="aa"/>
              <w:spacing w:before="0" w:beforeAutospacing="0" w:after="0" w:afterAutospacing="0"/>
              <w:jc w:val="both"/>
              <w:rPr>
                <w:color w:val="222222"/>
              </w:rPr>
            </w:pPr>
          </w:p>
          <w:p w14:paraId="528D40A1" w14:textId="77777777" w:rsidR="009579FD" w:rsidRPr="001D12D7" w:rsidRDefault="009579FD" w:rsidP="00AD1CD1">
            <w:pPr>
              <w:pStyle w:val="aa"/>
              <w:spacing w:before="0" w:beforeAutospacing="0" w:after="0" w:afterAutospacing="0"/>
              <w:jc w:val="both"/>
              <w:rPr>
                <w:color w:val="222222"/>
              </w:rPr>
            </w:pPr>
            <w:r w:rsidRPr="001D12D7">
              <w:rPr>
                <w:color w:val="222222"/>
              </w:rPr>
              <w:t>Розділ Суб’єкти аудиторської діяльності, які мають право проводити обов’язковий аудит фінансової звітності</w:t>
            </w:r>
          </w:p>
          <w:p w14:paraId="0FF54199" w14:textId="77777777" w:rsidR="009579FD" w:rsidRPr="001D12D7" w:rsidRDefault="009579FD" w:rsidP="00AD1CD1">
            <w:pPr>
              <w:pStyle w:val="aa"/>
              <w:spacing w:before="0" w:beforeAutospacing="0" w:after="0" w:afterAutospacing="0"/>
              <w:jc w:val="both"/>
              <w:rPr>
                <w:color w:val="222222"/>
              </w:rPr>
            </w:pPr>
            <w:r w:rsidRPr="001D12D7">
              <w:rPr>
                <w:color w:val="222222"/>
              </w:rPr>
              <w:t>Дата включення до Реєстру: 07.10.21 р.</w:t>
            </w:r>
          </w:p>
          <w:p w14:paraId="4EE24DA4" w14:textId="77777777" w:rsidR="009579FD" w:rsidRPr="001D12D7" w:rsidRDefault="009579FD" w:rsidP="00AD1CD1">
            <w:pPr>
              <w:pStyle w:val="aa"/>
              <w:spacing w:before="0" w:beforeAutospacing="0" w:after="0" w:afterAutospacing="0"/>
              <w:jc w:val="both"/>
              <w:rPr>
                <w:color w:val="222222"/>
              </w:rPr>
            </w:pPr>
            <w:r w:rsidRPr="001D12D7">
              <w:rPr>
                <w:color w:val="222222"/>
              </w:rPr>
              <w:t>Номер реєстрації у Реєстрі: 0402</w:t>
            </w:r>
          </w:p>
          <w:p w14:paraId="5AC97C38" w14:textId="77777777" w:rsidR="009579FD" w:rsidRPr="001D12D7" w:rsidRDefault="009579FD" w:rsidP="00AD1CD1">
            <w:pPr>
              <w:pStyle w:val="aa"/>
              <w:spacing w:before="0" w:beforeAutospacing="0" w:after="0" w:afterAutospacing="0"/>
              <w:jc w:val="both"/>
              <w:rPr>
                <w:color w:val="222222"/>
              </w:rPr>
            </w:pPr>
          </w:p>
        </w:tc>
      </w:tr>
      <w:tr w:rsidR="009579FD" w:rsidRPr="001D12D7" w14:paraId="5AAAC96E" w14:textId="77777777" w:rsidTr="007829FB">
        <w:trPr>
          <w:trHeight w:val="274"/>
        </w:trPr>
        <w:tc>
          <w:tcPr>
            <w:tcW w:w="2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9725412" w14:textId="325F5D75" w:rsidR="009579FD" w:rsidRPr="001D12D7" w:rsidRDefault="00E873E2" w:rsidP="009579FD">
            <w:pPr>
              <w:pStyle w:val="aa"/>
              <w:spacing w:before="0" w:beforeAutospacing="0" w:after="0" w:afterAutospacing="0"/>
              <w:rPr>
                <w:color w:val="222222"/>
              </w:rPr>
            </w:pPr>
            <w:r w:rsidRPr="001D12D7">
              <w:rPr>
                <w:color w:val="222222"/>
                <w:lang w:val="ru-RU"/>
              </w:rPr>
              <w:t>М</w:t>
            </w:r>
            <w:r w:rsidRPr="001D12D7">
              <w:rPr>
                <w:color w:val="222222"/>
              </w:rPr>
              <w:t>і</w:t>
            </w:r>
            <w:proofErr w:type="spellStart"/>
            <w:r w:rsidRPr="001D12D7">
              <w:rPr>
                <w:color w:val="222222"/>
                <w:lang w:val="ru-RU"/>
              </w:rPr>
              <w:t>сцезнаходження</w:t>
            </w:r>
            <w:proofErr w:type="spellEnd"/>
            <w:r w:rsidR="009579FD" w:rsidRPr="001D12D7">
              <w:rPr>
                <w:color w:val="222222"/>
              </w:rPr>
              <w:t xml:space="preserve">                               </w:t>
            </w:r>
          </w:p>
        </w:tc>
        <w:tc>
          <w:tcPr>
            <w:tcW w:w="65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20FFEB2" w14:textId="640C4681" w:rsidR="009579FD" w:rsidRPr="001D12D7" w:rsidRDefault="009579FD" w:rsidP="00AD1CD1">
            <w:pPr>
              <w:pStyle w:val="aa"/>
              <w:spacing w:before="0" w:beforeAutospacing="0" w:after="0" w:afterAutospacing="0"/>
              <w:jc w:val="both"/>
              <w:rPr>
                <w:rStyle w:val="a6"/>
                <w:color w:val="1155CC"/>
              </w:rPr>
            </w:pPr>
            <w:r w:rsidRPr="001D12D7">
              <w:rPr>
                <w:lang w:eastAsia="uk-UA"/>
              </w:rPr>
              <w:t xml:space="preserve">49000, місто Дніпро, вулиця Фабрично-заводська, </w:t>
            </w:r>
            <w:r w:rsidR="00C102D1" w:rsidRPr="001D12D7">
              <w:rPr>
                <w:lang w:eastAsia="uk-UA"/>
              </w:rPr>
              <w:t>б.</w:t>
            </w:r>
            <w:r w:rsidRPr="001D12D7">
              <w:rPr>
                <w:lang w:eastAsia="uk-UA"/>
              </w:rPr>
              <w:t>20, квартира 28</w:t>
            </w:r>
          </w:p>
        </w:tc>
      </w:tr>
    </w:tbl>
    <w:p w14:paraId="0A6BD3E9" w14:textId="1E5B04B0" w:rsidR="00F11846" w:rsidRPr="001D12D7" w:rsidRDefault="00F11846" w:rsidP="007829FB">
      <w:pPr>
        <w:pStyle w:val="aa"/>
        <w:shd w:val="clear" w:color="auto" w:fill="FFFFFF"/>
        <w:spacing w:before="0" w:beforeAutospacing="0" w:after="0" w:afterAutospacing="0"/>
        <w:jc w:val="both"/>
        <w:rPr>
          <w:b/>
          <w:sz w:val="22"/>
          <w:szCs w:val="22"/>
        </w:rPr>
      </w:pPr>
      <w:r w:rsidRPr="001D12D7">
        <w:rPr>
          <w:b/>
          <w:sz w:val="22"/>
          <w:szCs w:val="22"/>
        </w:rPr>
        <w:t xml:space="preserve">Практикуючим фахівцем, результатом роботи якого є цей звіт, </w:t>
      </w:r>
    </w:p>
    <w:p w14:paraId="0C40BF5B" w14:textId="760A765D" w:rsidR="009579FD" w:rsidRPr="001D12D7" w:rsidRDefault="009579FD" w:rsidP="009579FD">
      <w:pPr>
        <w:rPr>
          <w:b/>
          <w:sz w:val="22"/>
          <w:szCs w:val="22"/>
        </w:rPr>
      </w:pPr>
      <w:r w:rsidRPr="001D12D7">
        <w:rPr>
          <w:b/>
          <w:sz w:val="22"/>
          <w:szCs w:val="22"/>
        </w:rPr>
        <w:t>є  директор ТОВ АФ  "ФІНАНСИСТ"</w:t>
      </w:r>
    </w:p>
    <w:p w14:paraId="2AF9ADFF" w14:textId="138D6FDB" w:rsidR="009579FD" w:rsidRPr="001D12D7" w:rsidRDefault="009579FD" w:rsidP="009579FD">
      <w:pPr>
        <w:pStyle w:val="ab"/>
        <w:ind w:right="-260"/>
        <w:rPr>
          <w:rFonts w:ascii="Times New Roman" w:hAnsi="Times New Roman"/>
          <w:lang w:val="uk-UA" w:eastAsia="uk-UA"/>
        </w:rPr>
      </w:pPr>
      <w:r w:rsidRPr="001D12D7">
        <w:rPr>
          <w:rFonts w:ascii="Times New Roman" w:hAnsi="Times New Roman"/>
          <w:lang w:val="uk-UA" w:eastAsia="uk-UA"/>
        </w:rPr>
        <w:t xml:space="preserve">Номер реєстрації аудитора у Реєстрі                                                                    </w:t>
      </w:r>
      <w:proofErr w:type="spellStart"/>
      <w:r w:rsidRPr="001D12D7">
        <w:rPr>
          <w:rFonts w:ascii="Times New Roman" w:hAnsi="Times New Roman"/>
          <w:lang w:val="uk-UA" w:eastAsia="uk-UA"/>
        </w:rPr>
        <w:t>Поспехова</w:t>
      </w:r>
      <w:proofErr w:type="spellEnd"/>
      <w:r w:rsidRPr="001D12D7">
        <w:rPr>
          <w:rFonts w:ascii="Times New Roman" w:hAnsi="Times New Roman"/>
          <w:lang w:val="uk-UA" w:eastAsia="uk-UA"/>
        </w:rPr>
        <w:t xml:space="preserve"> О.Д.</w:t>
      </w:r>
    </w:p>
    <w:p w14:paraId="0F197BEC" w14:textId="4794E25B" w:rsidR="00144E8C" w:rsidRPr="001D12D7" w:rsidRDefault="009579FD" w:rsidP="009579FD">
      <w:r w:rsidRPr="001D12D7">
        <w:rPr>
          <w:sz w:val="22"/>
          <w:szCs w:val="22"/>
        </w:rPr>
        <w:t>аудиторів та суб’єктів аудиторської діяльності 100866</w:t>
      </w:r>
    </w:p>
    <w:p w14:paraId="5FB3C29B" w14:textId="77777777" w:rsidR="00144E8C" w:rsidRPr="001D12D7" w:rsidRDefault="00144E8C" w:rsidP="00144E8C"/>
    <w:p w14:paraId="0E3DA527" w14:textId="6942489E" w:rsidR="00E41F9E" w:rsidRPr="001D12D7" w:rsidRDefault="006074BF" w:rsidP="00E95126">
      <w:pPr>
        <w:rPr>
          <w:b/>
          <w:bCs/>
        </w:rPr>
      </w:pPr>
      <w:r w:rsidRPr="001D12D7">
        <w:rPr>
          <w:color w:val="222222"/>
          <w:sz w:val="24"/>
          <w:szCs w:val="24"/>
          <w:lang w:val="ru-RU"/>
        </w:rPr>
        <w:t>___</w:t>
      </w:r>
      <w:r w:rsidR="00935F00" w:rsidRPr="001D12D7">
        <w:rPr>
          <w:color w:val="222222"/>
          <w:sz w:val="24"/>
          <w:szCs w:val="24"/>
          <w:lang w:val="ru-RU"/>
        </w:rPr>
        <w:t>.0</w:t>
      </w:r>
      <w:r w:rsidR="00D84BAC" w:rsidRPr="001D12D7">
        <w:rPr>
          <w:color w:val="222222"/>
          <w:sz w:val="24"/>
          <w:szCs w:val="24"/>
          <w:lang w:val="ru-RU"/>
        </w:rPr>
        <w:t>5</w:t>
      </w:r>
      <w:r w:rsidR="00E95126" w:rsidRPr="001D12D7">
        <w:rPr>
          <w:color w:val="222222"/>
          <w:sz w:val="24"/>
          <w:szCs w:val="24"/>
        </w:rPr>
        <w:t>.</w:t>
      </w:r>
      <w:r w:rsidR="00BF08E6" w:rsidRPr="001D12D7">
        <w:rPr>
          <w:color w:val="222222"/>
          <w:sz w:val="24"/>
          <w:szCs w:val="24"/>
        </w:rPr>
        <w:t>2025</w:t>
      </w:r>
      <w:r w:rsidR="00E95126" w:rsidRPr="001D12D7">
        <w:rPr>
          <w:color w:val="222222"/>
          <w:sz w:val="24"/>
          <w:szCs w:val="24"/>
        </w:rPr>
        <w:t xml:space="preserve"> року</w:t>
      </w:r>
    </w:p>
    <w:sectPr w:rsidR="00E41F9E" w:rsidRPr="001D12D7" w:rsidSect="005C76DF">
      <w:footerReference w:type="even" r:id="rId9"/>
      <w:footerReference w:type="default" r:id="rId10"/>
      <w:pgSz w:w="11906" w:h="16838"/>
      <w:pgMar w:top="567" w:right="1304" w:bottom="56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DB7BA" w14:textId="77777777" w:rsidR="00AE6207" w:rsidRDefault="00AE6207" w:rsidP="00144E8C">
      <w:r>
        <w:separator/>
      </w:r>
    </w:p>
  </w:endnote>
  <w:endnote w:type="continuationSeparator" w:id="0">
    <w:p w14:paraId="7D20E905" w14:textId="77777777" w:rsidR="00AE6207" w:rsidRDefault="00AE6207" w:rsidP="0014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2CE6D" w14:textId="77777777" w:rsidR="00AD1CD1" w:rsidRDefault="00AD1CD1" w:rsidP="00AD1CD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195F122" w14:textId="77777777" w:rsidR="00AD1CD1" w:rsidRDefault="00AD1CD1" w:rsidP="00AD1CD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1A596" w14:textId="77777777" w:rsidR="00AD1CD1" w:rsidRDefault="00AD1CD1" w:rsidP="00AD1CD1">
    <w:pPr>
      <w:pStyle w:val="a3"/>
      <w:framePr w:wrap="around" w:vAnchor="text" w:hAnchor="margin" w:xAlign="right" w:y="1"/>
      <w:rPr>
        <w:rStyle w:val="a5"/>
      </w:rPr>
    </w:pPr>
  </w:p>
  <w:p w14:paraId="0F1A6E0F" w14:textId="77777777" w:rsidR="00AD1CD1" w:rsidRPr="00383DEF" w:rsidRDefault="00AD1CD1" w:rsidP="00144E8C">
    <w:pPr>
      <w:pStyle w:val="a3"/>
      <w:tabs>
        <w:tab w:val="clear" w:pos="4819"/>
        <w:tab w:val="clear" w:pos="9639"/>
        <w:tab w:val="center" w:pos="4677"/>
        <w:tab w:val="right" w:pos="9355"/>
      </w:tabs>
      <w:jc w:val="right"/>
      <w:rPr>
        <w:rFonts w:ascii="Arial" w:hAnsi="Arial"/>
        <w:sz w:val="24"/>
        <w:szCs w:val="24"/>
        <w:lang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D74F5" w14:textId="77777777" w:rsidR="00AE6207" w:rsidRDefault="00AE6207" w:rsidP="00144E8C">
      <w:r>
        <w:separator/>
      </w:r>
    </w:p>
  </w:footnote>
  <w:footnote w:type="continuationSeparator" w:id="0">
    <w:p w14:paraId="61827308" w14:textId="77777777" w:rsidR="00AE6207" w:rsidRDefault="00AE6207" w:rsidP="00144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50D7"/>
    <w:multiLevelType w:val="hybridMultilevel"/>
    <w:tmpl w:val="53F8B6E2"/>
    <w:lvl w:ilvl="0" w:tplc="04220001">
      <w:start w:val="1"/>
      <w:numFmt w:val="bullet"/>
      <w:lvlText w:val=""/>
      <w:lvlJc w:val="left"/>
      <w:pPr>
        <w:ind w:left="720" w:hanging="360"/>
      </w:pPr>
      <w:rPr>
        <w:rFonts w:ascii="Symbol" w:hAnsi="Symbol" w:hint="default"/>
      </w:rPr>
    </w:lvl>
    <w:lvl w:ilvl="1" w:tplc="24648248">
      <w:numFmt w:val="bullet"/>
      <w:lvlText w:val="•"/>
      <w:lvlJc w:val="left"/>
      <w:pPr>
        <w:ind w:left="1650" w:hanging="57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F9878DE"/>
    <w:multiLevelType w:val="hybridMultilevel"/>
    <w:tmpl w:val="42345B4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3E43B0C"/>
    <w:multiLevelType w:val="hybridMultilevel"/>
    <w:tmpl w:val="E3A82C28"/>
    <w:lvl w:ilvl="0" w:tplc="04220001">
      <w:start w:val="1"/>
      <w:numFmt w:val="bullet"/>
      <w:lvlText w:val=""/>
      <w:lvlJc w:val="left"/>
      <w:pPr>
        <w:ind w:left="540" w:hanging="360"/>
      </w:pPr>
      <w:rPr>
        <w:rFonts w:ascii="Symbol" w:hAnsi="Symbol"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3" w15:restartNumberingAfterBreak="0">
    <w:nsid w:val="17E43E5A"/>
    <w:multiLevelType w:val="multilevel"/>
    <w:tmpl w:val="17E43E5A"/>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1EB378BB"/>
    <w:multiLevelType w:val="hybridMultilevel"/>
    <w:tmpl w:val="9154EB52"/>
    <w:lvl w:ilvl="0" w:tplc="DC44B26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8E4DE9"/>
    <w:multiLevelType w:val="hybridMultilevel"/>
    <w:tmpl w:val="C66E25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1236CC"/>
    <w:multiLevelType w:val="hybridMultilevel"/>
    <w:tmpl w:val="FB06CE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44006E"/>
    <w:multiLevelType w:val="hybridMultilevel"/>
    <w:tmpl w:val="6F3830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06552C1"/>
    <w:multiLevelType w:val="hybridMultilevel"/>
    <w:tmpl w:val="FEA0D0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0B4253C"/>
    <w:multiLevelType w:val="hybridMultilevel"/>
    <w:tmpl w:val="5E5A1DE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6010636"/>
    <w:multiLevelType w:val="hybridMultilevel"/>
    <w:tmpl w:val="3732FED4"/>
    <w:lvl w:ilvl="0" w:tplc="A3CC7A7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D325A12"/>
    <w:multiLevelType w:val="hybridMultilevel"/>
    <w:tmpl w:val="C6F6657A"/>
    <w:lvl w:ilvl="0" w:tplc="04220001">
      <w:start w:val="1"/>
      <w:numFmt w:val="bullet"/>
      <w:lvlText w:val=""/>
      <w:lvlJc w:val="left"/>
      <w:pPr>
        <w:ind w:left="720" w:hanging="360"/>
      </w:pPr>
      <w:rPr>
        <w:rFonts w:ascii="Symbol" w:hAnsi="Symbol" w:hint="default"/>
      </w:rPr>
    </w:lvl>
    <w:lvl w:ilvl="1" w:tplc="8662D244">
      <w:numFmt w:val="bullet"/>
      <w:lvlText w:val="•"/>
      <w:lvlJc w:val="left"/>
      <w:pPr>
        <w:ind w:left="1650" w:hanging="57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967280A"/>
    <w:multiLevelType w:val="hybridMultilevel"/>
    <w:tmpl w:val="5E647DE0"/>
    <w:lvl w:ilvl="0" w:tplc="04220001">
      <w:start w:val="1"/>
      <w:numFmt w:val="bullet"/>
      <w:lvlText w:val=""/>
      <w:lvlJc w:val="left"/>
      <w:pPr>
        <w:ind w:left="540" w:hanging="360"/>
      </w:pPr>
      <w:rPr>
        <w:rFonts w:ascii="Symbol" w:hAnsi="Symbol"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num w:numId="1">
    <w:abstractNumId w:val="6"/>
  </w:num>
  <w:num w:numId="2">
    <w:abstractNumId w:val="4"/>
  </w:num>
  <w:num w:numId="3">
    <w:abstractNumId w:val="10"/>
  </w:num>
  <w:num w:numId="4">
    <w:abstractNumId w:val="8"/>
  </w:num>
  <w:num w:numId="5">
    <w:abstractNumId w:val="12"/>
  </w:num>
  <w:num w:numId="6">
    <w:abstractNumId w:val="0"/>
  </w:num>
  <w:num w:numId="7">
    <w:abstractNumId w:val="11"/>
  </w:num>
  <w:num w:numId="8">
    <w:abstractNumId w:val="1"/>
  </w:num>
  <w:num w:numId="9">
    <w:abstractNumId w:val="9"/>
  </w:num>
  <w:num w:numId="10">
    <w:abstractNumId w:val="7"/>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8C"/>
    <w:rsid w:val="00037BB7"/>
    <w:rsid w:val="00094478"/>
    <w:rsid w:val="00144E8C"/>
    <w:rsid w:val="00162402"/>
    <w:rsid w:val="001A01EB"/>
    <w:rsid w:val="001C15C4"/>
    <w:rsid w:val="001D12D7"/>
    <w:rsid w:val="001E6836"/>
    <w:rsid w:val="001F267A"/>
    <w:rsid w:val="00274FD4"/>
    <w:rsid w:val="002960BC"/>
    <w:rsid w:val="003C5D21"/>
    <w:rsid w:val="00401C68"/>
    <w:rsid w:val="004A177D"/>
    <w:rsid w:val="005A60D3"/>
    <w:rsid w:val="005C76DF"/>
    <w:rsid w:val="005F0B53"/>
    <w:rsid w:val="006074BF"/>
    <w:rsid w:val="00643BD0"/>
    <w:rsid w:val="00680463"/>
    <w:rsid w:val="006A683A"/>
    <w:rsid w:val="006F1C34"/>
    <w:rsid w:val="007829FB"/>
    <w:rsid w:val="00843C1C"/>
    <w:rsid w:val="00935F00"/>
    <w:rsid w:val="0094458A"/>
    <w:rsid w:val="009579FD"/>
    <w:rsid w:val="00963D26"/>
    <w:rsid w:val="00A8206F"/>
    <w:rsid w:val="00A83E58"/>
    <w:rsid w:val="00AD1CD1"/>
    <w:rsid w:val="00AE3F30"/>
    <w:rsid w:val="00AE6207"/>
    <w:rsid w:val="00B61DB7"/>
    <w:rsid w:val="00B81FE1"/>
    <w:rsid w:val="00BA136A"/>
    <w:rsid w:val="00BC02D9"/>
    <w:rsid w:val="00BF08E6"/>
    <w:rsid w:val="00C102D1"/>
    <w:rsid w:val="00C16CD1"/>
    <w:rsid w:val="00D102AA"/>
    <w:rsid w:val="00D84BAC"/>
    <w:rsid w:val="00D84C63"/>
    <w:rsid w:val="00DF14C4"/>
    <w:rsid w:val="00E34BD8"/>
    <w:rsid w:val="00E40849"/>
    <w:rsid w:val="00E41F9E"/>
    <w:rsid w:val="00E873E2"/>
    <w:rsid w:val="00E95126"/>
    <w:rsid w:val="00EF42C6"/>
    <w:rsid w:val="00F11846"/>
    <w:rsid w:val="00F27535"/>
    <w:rsid w:val="00F7420E"/>
    <w:rsid w:val="00FA73F6"/>
    <w:rsid w:val="00FD24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D172"/>
  <w15:docId w15:val="{3AB26201-1792-4D2E-94AF-A713FE06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E8C"/>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link w:val="Normal"/>
    <w:rsid w:val="00144E8C"/>
    <w:pPr>
      <w:spacing w:after="0" w:line="240" w:lineRule="auto"/>
    </w:pPr>
    <w:rPr>
      <w:rFonts w:ascii="TimesET" w:eastAsia="Times New Roman" w:hAnsi="TimesET" w:cs="Times New Roman"/>
      <w:sz w:val="24"/>
      <w:szCs w:val="20"/>
      <w:lang w:val="en-US" w:eastAsia="ru-RU"/>
    </w:rPr>
  </w:style>
  <w:style w:type="character" w:customStyle="1" w:styleId="Normal">
    <w:name w:val="Normal Знак"/>
    <w:link w:val="Normal1"/>
    <w:rsid w:val="00144E8C"/>
    <w:rPr>
      <w:rFonts w:ascii="TimesET" w:eastAsia="Times New Roman" w:hAnsi="TimesET" w:cs="Times New Roman"/>
      <w:sz w:val="24"/>
      <w:szCs w:val="20"/>
      <w:lang w:val="en-US" w:eastAsia="ru-RU"/>
    </w:rPr>
  </w:style>
  <w:style w:type="paragraph" w:styleId="a3">
    <w:name w:val="footer"/>
    <w:basedOn w:val="a"/>
    <w:link w:val="a4"/>
    <w:uiPriority w:val="99"/>
    <w:rsid w:val="00144E8C"/>
    <w:pPr>
      <w:tabs>
        <w:tab w:val="center" w:pos="4819"/>
        <w:tab w:val="right" w:pos="9639"/>
      </w:tabs>
    </w:pPr>
  </w:style>
  <w:style w:type="character" w:customStyle="1" w:styleId="a4">
    <w:name w:val="Нижний колонтитул Знак"/>
    <w:basedOn w:val="a0"/>
    <w:link w:val="a3"/>
    <w:uiPriority w:val="99"/>
    <w:rsid w:val="00144E8C"/>
    <w:rPr>
      <w:rFonts w:ascii="Times New Roman" w:eastAsia="Times New Roman" w:hAnsi="Times New Roman" w:cs="Times New Roman"/>
      <w:sz w:val="20"/>
      <w:szCs w:val="20"/>
      <w:lang w:eastAsia="uk-UA"/>
    </w:rPr>
  </w:style>
  <w:style w:type="character" w:styleId="a5">
    <w:name w:val="page number"/>
    <w:basedOn w:val="a0"/>
    <w:rsid w:val="00144E8C"/>
  </w:style>
  <w:style w:type="character" w:styleId="a6">
    <w:name w:val="Hyperlink"/>
    <w:uiPriority w:val="99"/>
    <w:unhideWhenUsed/>
    <w:rsid w:val="00144E8C"/>
    <w:rPr>
      <w:color w:val="0000FF"/>
      <w:u w:val="single"/>
    </w:rPr>
  </w:style>
  <w:style w:type="paragraph" w:styleId="a7">
    <w:name w:val="List Paragraph"/>
    <w:basedOn w:val="a"/>
    <w:uiPriority w:val="34"/>
    <w:qFormat/>
    <w:rsid w:val="00144E8C"/>
    <w:pPr>
      <w:spacing w:after="200" w:line="276" w:lineRule="auto"/>
      <w:ind w:left="720"/>
      <w:contextualSpacing/>
    </w:pPr>
    <w:rPr>
      <w:rFonts w:ascii="Calibri" w:eastAsia="Calibri" w:hAnsi="Calibri"/>
      <w:sz w:val="22"/>
      <w:szCs w:val="22"/>
      <w:lang w:eastAsia="en-US"/>
    </w:rPr>
  </w:style>
  <w:style w:type="paragraph" w:styleId="a8">
    <w:name w:val="header"/>
    <w:basedOn w:val="a"/>
    <w:link w:val="a9"/>
    <w:uiPriority w:val="99"/>
    <w:unhideWhenUsed/>
    <w:rsid w:val="00144E8C"/>
    <w:pPr>
      <w:tabs>
        <w:tab w:val="center" w:pos="4677"/>
        <w:tab w:val="right" w:pos="9355"/>
      </w:tabs>
    </w:pPr>
  </w:style>
  <w:style w:type="character" w:customStyle="1" w:styleId="a9">
    <w:name w:val="Верхний колонтитул Знак"/>
    <w:basedOn w:val="a0"/>
    <w:link w:val="a8"/>
    <w:uiPriority w:val="99"/>
    <w:rsid w:val="00144E8C"/>
    <w:rPr>
      <w:rFonts w:ascii="Times New Roman" w:eastAsia="Times New Roman" w:hAnsi="Times New Roman" w:cs="Times New Roman"/>
      <w:sz w:val="20"/>
      <w:szCs w:val="20"/>
      <w:lang w:eastAsia="uk-UA"/>
    </w:rPr>
  </w:style>
  <w:style w:type="paragraph" w:customStyle="1" w:styleId="Standard">
    <w:name w:val="Standard"/>
    <w:rsid w:val="00144E8C"/>
    <w:pPr>
      <w:suppressAutoHyphens/>
      <w:autoSpaceDN w:val="0"/>
      <w:spacing w:after="200" w:line="276" w:lineRule="auto"/>
      <w:textAlignment w:val="baseline"/>
    </w:pPr>
    <w:rPr>
      <w:rFonts w:ascii="Calibri" w:eastAsia="Calibri" w:hAnsi="Calibri" w:cs="Times New Roman"/>
      <w:kern w:val="3"/>
    </w:rPr>
  </w:style>
  <w:style w:type="paragraph" w:styleId="aa">
    <w:name w:val="Normal (Web)"/>
    <w:basedOn w:val="a"/>
    <w:uiPriority w:val="99"/>
    <w:unhideWhenUsed/>
    <w:rsid w:val="00144E8C"/>
    <w:pPr>
      <w:spacing w:before="100" w:beforeAutospacing="1" w:after="100" w:afterAutospacing="1"/>
    </w:pPr>
    <w:rPr>
      <w:sz w:val="24"/>
      <w:szCs w:val="24"/>
      <w:lang w:eastAsia="ru-RU"/>
    </w:rPr>
  </w:style>
  <w:style w:type="paragraph" w:styleId="ab">
    <w:name w:val="No Spacing"/>
    <w:link w:val="ac"/>
    <w:uiPriority w:val="1"/>
    <w:qFormat/>
    <w:rsid w:val="00144E8C"/>
    <w:pPr>
      <w:spacing w:after="0" w:line="240" w:lineRule="auto"/>
    </w:pPr>
    <w:rPr>
      <w:rFonts w:ascii="Calibri" w:eastAsia="Calibri" w:hAnsi="Calibri" w:cs="Times New Roman"/>
      <w:lang w:val="ru-RU"/>
    </w:rPr>
  </w:style>
  <w:style w:type="character" w:customStyle="1" w:styleId="ac">
    <w:name w:val="Без интервала Знак"/>
    <w:link w:val="ab"/>
    <w:uiPriority w:val="1"/>
    <w:rsid w:val="00144E8C"/>
    <w:rPr>
      <w:rFonts w:ascii="Calibri" w:eastAsia="Calibri" w:hAnsi="Calibri" w:cs="Times New Roman"/>
      <w:lang w:val="ru-RU"/>
    </w:rPr>
  </w:style>
  <w:style w:type="paragraph" w:customStyle="1" w:styleId="1">
    <w:name w:val="Без интервала1"/>
    <w:uiPriority w:val="1"/>
    <w:qFormat/>
    <w:rsid w:val="00144E8C"/>
    <w:pPr>
      <w:spacing w:after="0" w:line="240" w:lineRule="auto"/>
    </w:pPr>
    <w:rPr>
      <w:rFonts w:ascii="Times New Roman" w:eastAsia="Times New Roman" w:hAnsi="Times New Roman" w:cs="Times New Roman"/>
      <w:sz w:val="24"/>
      <w:szCs w:val="20"/>
      <w:lang w:val="ru-RU" w:eastAsia="ru-RU"/>
    </w:rPr>
  </w:style>
  <w:style w:type="table" w:customStyle="1" w:styleId="10">
    <w:name w:val="Сетка таблицы светлая1"/>
    <w:basedOn w:val="a1"/>
    <w:uiPriority w:val="40"/>
    <w:rsid w:val="00144E8C"/>
    <w:pPr>
      <w:spacing w:after="0" w:line="240" w:lineRule="auto"/>
    </w:pPr>
    <w:rPr>
      <w:rFonts w:ascii="Calibri" w:eastAsia="Calibri" w:hAnsi="Calibri" w:cs="Times New Roman"/>
      <w:sz w:val="20"/>
      <w:szCs w:val="20"/>
      <w:lang w:val="ru-RU"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d">
    <w:name w:val="Balloon Text"/>
    <w:basedOn w:val="a"/>
    <w:link w:val="ae"/>
    <w:uiPriority w:val="99"/>
    <w:semiHidden/>
    <w:unhideWhenUsed/>
    <w:rsid w:val="00C102D1"/>
    <w:rPr>
      <w:rFonts w:ascii="Tahoma" w:hAnsi="Tahoma" w:cs="Tahoma"/>
      <w:sz w:val="16"/>
      <w:szCs w:val="16"/>
    </w:rPr>
  </w:style>
  <w:style w:type="character" w:customStyle="1" w:styleId="ae">
    <w:name w:val="Текст выноски Знак"/>
    <w:basedOn w:val="a0"/>
    <w:link w:val="ad"/>
    <w:uiPriority w:val="99"/>
    <w:semiHidden/>
    <w:rsid w:val="00C102D1"/>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25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finansist@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2255</Words>
  <Characters>12857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cp:revision>
  <cp:lastPrinted>2022-09-25T10:52:00Z</cp:lastPrinted>
  <dcterms:created xsi:type="dcterms:W3CDTF">2025-05-16T07:28:00Z</dcterms:created>
  <dcterms:modified xsi:type="dcterms:W3CDTF">2025-05-16T07:28:00Z</dcterms:modified>
</cp:coreProperties>
</file>